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rFonts w:ascii="Calibri" w:hAnsi="Calibri" w:eastAsia="宋体" w:cs="黑体"/>
          <w:kern w:val="2"/>
          <w:sz w:val="21"/>
          <w:szCs w:val="24"/>
          <w:lang w:val="en-US" w:eastAsia="zh-CN" w:bidi="ar-SA"/>
        </w:rPr>
        <w:pict>
          <v:rect id="文本框 5" o:spid="_x0000_s1026" o:spt="1" style="position:absolute;left:0pt;margin-left:128.25pt;margin-top:619.9pt;height:40.75pt;width:167.85pt;z-index:25166643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w:t>
                  </w:r>
                  <w:r>
                    <w:rPr>
                      <w:rFonts w:hint="eastAsia" w:ascii="楷体_GB2312" w:hAnsi="楷体_GB2312" w:eastAsia="楷体_GB2312" w:cs="楷体_GB2312"/>
                      <w:sz w:val="44"/>
                      <w:szCs w:val="52"/>
                      <w:lang w:eastAsia="zh-CN"/>
                    </w:rPr>
                    <w:t>年</w:t>
                  </w:r>
                  <w:r>
                    <w:rPr>
                      <w:rFonts w:hint="eastAsia" w:ascii="楷体_GB2312" w:hAnsi="楷体_GB2312" w:eastAsia="楷体_GB2312" w:cs="楷体_GB2312"/>
                      <w:sz w:val="44"/>
                      <w:szCs w:val="52"/>
                    </w:rPr>
                    <w:t>9月</w:t>
                  </w:r>
                </w:p>
              </w:txbxContent>
            </v:textbox>
          </v:rect>
        </w:pict>
      </w:r>
      <w:r>
        <w:rPr>
          <w:rFonts w:ascii="Calibri" w:hAnsi="Calibri" w:eastAsia="宋体" w:cs="黑体"/>
          <w:kern w:val="2"/>
          <w:sz w:val="21"/>
          <w:szCs w:val="24"/>
          <w:lang w:val="en-US" w:eastAsia="zh-CN" w:bidi="ar-SA"/>
        </w:rPr>
        <w:pict>
          <v:shape id="图片 4" o:spid="_x0000_s1027" o:spt="75" type="#_x0000_t75" style="position:absolute;left:0pt;margin-left:-78.55pt;margin-top:-107.1pt;height:845.65pt;width:597.8pt;z-index:-251656192;mso-width-relative:page;mso-height-relative:page;" fillcolor="#FFFFFF" filled="f" o:preferrelative="t" stroked="f" coordsize="21600,21600">
            <v:path/>
            <v:fill on="f" color2="#FFFFFF" focussize="0,0"/>
            <v:stroke on="f"/>
            <v:imagedata r:id="rId10" gain="65536f" blacklevel="0f" gamma="0" o:title=""/>
            <o:lock v:ext="edit" position="f" selection="f" grouping="f" rotation="f" cropping="f" text="f" aspectratio="t"/>
          </v:shape>
        </w:pict>
      </w:r>
      <w:r>
        <w:br w:type="page"/>
      </w:r>
    </w:p>
    <w:p>
      <w:pPr>
        <w:snapToGrid w:val="0"/>
        <w:jc w:val="center"/>
        <w:rPr>
          <w:rFonts w:ascii="楷体_GB2312" w:hAnsi="楷体_GB2312" w:eastAsia="楷体_GB2312" w:cs="楷体_GB2312"/>
          <w:color w:val="000000"/>
          <w:kern w:val="0"/>
          <w:sz w:val="40"/>
          <w:szCs w:val="40"/>
        </w:rPr>
      </w:pPr>
    </w:p>
    <w:p>
      <w:pPr>
        <w:jc w:val="center"/>
        <w:rPr>
          <w:rFonts w:ascii="黑体" w:hAnsi="黑体" w:eastAsia="黑体" w:cs="黑体"/>
          <w:sz w:val="72"/>
          <w:szCs w:val="96"/>
          <w:highlight w:val="yellow"/>
        </w:rPr>
      </w:pPr>
      <w:r>
        <w:rPr>
          <w:rFonts w:hint="eastAsia" w:ascii="黑体" w:hAnsi="黑体" w:eastAsia="黑体" w:cs="黑体"/>
          <w:sz w:val="72"/>
          <w:szCs w:val="96"/>
        </w:rPr>
        <w:t>高邑县大营镇人民政府</w:t>
      </w:r>
    </w:p>
    <w:p>
      <w:pPr>
        <w:rPr>
          <w:rFonts w:ascii="黑体" w:hAnsi="黑体" w:eastAsia="黑体" w:cs="黑体"/>
          <w:sz w:val="72"/>
          <w:szCs w:val="96"/>
        </w:rPr>
      </w:pPr>
      <w:r>
        <w:rPr>
          <w:rFonts w:hint="eastAsia" w:ascii="黑体" w:hAnsi="黑体" w:eastAsia="黑体" w:cs="黑体"/>
          <w:sz w:val="72"/>
          <w:szCs w:val="96"/>
        </w:rPr>
        <w:t>2020</w:t>
      </w:r>
      <w:r>
        <w:rPr>
          <w:rFonts w:hint="eastAsia" w:ascii="黑体" w:hAnsi="黑体" w:eastAsia="黑体" w:cs="黑体"/>
          <w:sz w:val="72"/>
          <w:szCs w:val="96"/>
          <w:lang w:eastAsia="zh-CN"/>
        </w:rPr>
        <w:t>年度</w:t>
      </w:r>
      <w:r>
        <w:rPr>
          <w:rFonts w:hint="eastAsia" w:ascii="黑体" w:hAnsi="黑体" w:eastAsia="黑体" w:cs="黑体"/>
          <w:sz w:val="72"/>
          <w:szCs w:val="96"/>
        </w:rPr>
        <w:t>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hint="eastAsia"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0"/>
          <w:szCs w:val="40"/>
        </w:rPr>
        <w:t>二〇二一</w:t>
      </w:r>
      <w:r>
        <w:rPr>
          <w:rFonts w:hint="eastAsia" w:ascii="楷体_GB2312" w:hAnsi="楷体_GB2312" w:eastAsia="楷体_GB2312" w:cs="楷体_GB2312"/>
          <w:color w:val="000000"/>
          <w:kern w:val="0"/>
          <w:sz w:val="40"/>
          <w:szCs w:val="40"/>
          <w:lang w:eastAsia="zh-CN"/>
        </w:rPr>
        <w:t>年</w:t>
      </w:r>
      <w:r>
        <w:rPr>
          <w:rFonts w:hint="eastAsia" w:ascii="楷体_GB2312" w:hAnsi="楷体_GB2312" w:eastAsia="楷体_GB2312" w:cs="楷体_GB2312"/>
          <w:color w:val="000000"/>
          <w:kern w:val="0"/>
          <w:sz w:val="40"/>
          <w:szCs w:val="40"/>
        </w:rPr>
        <w:t>九月</w:t>
      </w:r>
    </w:p>
    <w:p>
      <w:pPr>
        <w:snapToGrid w:val="0"/>
        <w:jc w:val="center"/>
        <w:rPr>
          <w:rFonts w:hint="eastAsia" w:ascii="楷体_GB2312" w:hAns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hint="eastAsia" w:ascii="Times New Roman" w:hAnsi="Times New Roman" w:eastAsia="黑体" w:cs="Times New Roman"/>
          <w:sz w:val="32"/>
          <w:szCs w:val="32"/>
          <w:lang w:eastAsia="zh-CN"/>
        </w:rPr>
        <w:t>年度</w:t>
      </w:r>
      <w:r>
        <w:rPr>
          <w:rFonts w:ascii="Times New Roman" w:hAnsi="Times New Roman" w:eastAsia="黑体" w:cs="Times New Roman"/>
          <w:sz w:val="32"/>
          <w:szCs w:val="32"/>
        </w:rPr>
        <w:t>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hint="eastAsia" w:ascii="Times New Roman" w:hAnsi="Times New Roman" w:eastAsia="黑体" w:cs="Times New Roman"/>
          <w:sz w:val="32"/>
          <w:szCs w:val="32"/>
          <w:lang w:eastAsia="zh-CN"/>
        </w:rPr>
        <w:t>年度</w:t>
      </w:r>
      <w:r>
        <w:rPr>
          <w:rFonts w:ascii="Times New Roman" w:hAnsi="Times New Roman" w:eastAsia="黑体" w:cs="Times New Roman"/>
          <w:sz w:val="32"/>
          <w:szCs w:val="32"/>
        </w:rPr>
        <w:t>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rFonts w:ascii="Calibri" w:hAnsi="Calibri" w:eastAsia="宋体" w:cs="黑体"/>
          <w:kern w:val="2"/>
          <w:sz w:val="72"/>
          <w:szCs w:val="24"/>
          <w:lang w:val="en-US" w:eastAsia="zh-CN" w:bidi="ar-SA"/>
        </w:rPr>
        <w:pict>
          <v:rect id="文本框 143" o:spid="_x0000_s1028" o:spt="1" style="position:absolute;left:0pt;margin-left:-85.7pt;margin-top:80.7pt;height:263.1pt;width:613.65pt;z-index:251661312;mso-width-relative:page;mso-height-relative:page;" fillcolor="#7F7F7F" filled="t" o:preferrelative="t" stroked="t" coordsize="21600,21600">
            <v:path/>
            <v:fill type="pattern" on="t" color2="#FFFFFF" o:opacity2="65536f" focussize="0,0" r:id="rId11"/>
            <v:stroke weight="1pt" color="#A5A5A5"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(一）、促进经济发展，增加农民收入</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1、助力全镇经济发展：为招商引资、项目建设、第三产业提供服务</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2、编制、汇总、审核乡级及村级财务预算，监管资金流向：编制、汇总资金预决算，依法理财，严格监管，更新理念，做好收支计划，对专项资金跟踪核查，做好预算执行情况分析</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（二）、强化公共服务，着力改善民生</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1、强化公共服务，加强社会管理，维护农村稳定：为安全生产提供保障，贯彻惠农强农政策</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2、计生服务坚持国策，提高优生率：计生服务水平的专业化</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3、减少农村剩余劳动力：全乡农村劳动力职业培训、劳动就业和社会保障进一步提升</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4、完善科技教育文化，卫生服务工作：为发展镇级科教文卫工作提供技术保障</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（三）、加强社会管理，维护农村稳定</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全面开展综合治理工作：依法行政，依法履行职责</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（四）、推进基层民主，促进农村和谐</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负责乡镇党委、政府各项工作的督导催办，协调各办公室的工作关系：保障正常业务开展和机关运转</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（五）、村镇建设</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1、占地、拆迁、附着物赔偿支出：相关占地补偿项目支出，包括占地、拆迁、附着物等相关赔偿支出</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2、防汛、抗旱、维稳支出：关乎农民种植、财产、权益等相关支出</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（六）、环境污染综合防治</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大气污染防治：加强大气污染防治，推动城市环境空气质量改善。</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（七）、信访问题处理</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办理正常信访业务：解决群众上访问题</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（八）、城乡建设管理</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1、公用设施建设与管理：加强乡镇基础设施建设</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2、推进城镇化建设：结合本</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乡镇建设工作重点，结合上级对乡镇建设工作考核评价指标体系，对乡镇建设工作进行评价，结果纳入乡镇领导综合考核评价</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（九）、推进新农村建设</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1、农村面貌改造提升：围绕农村改造15件实事，突出重点，因地制宜，开展农村面貌改造提升。按照分期分批推进的要求，每</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选定一批重点村实施改造提升。</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2、美丽乡村建设：突出重点，因地制宜，按照分期分批推进的要求，每</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选定一批重点村实施改造提升。</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（十）、安全生产综合监督管理</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加强安全生产综合监督管理：通过检查安全生产，最大限度地发现、纠正、督促企业消除各类隐患，预防和减少事故的发生，确保乡镇安全生产形势持续稳定好转，加大安全生产宣传和信息公开力度，提高全社会安全生产意识。</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2、加强重大危险源安全管理：科学准确进行重大危险源等级界定；有效开展监测数据的综合分析、数据发布工作；督促企业切实加强危险源监控，有效治理隐患，落实监管责任</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（十一）、民兵训练和专武干部培训</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因地制宜地抓好专业人才培训，充分发挥其战备效益和社会效益。</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（十二）、防汛抗旱</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发挥防汛抗旱减灾体系作用，最大限度地减少水旱灾害造成的人员伤亡和财产损失。</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（十三）、医疗保障</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有效降低城乡居民看病就医的经济负担。</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（十四）、铁路护路联防工作</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组织开展好全国两会及其他重要时期铁路护路联防工作，维护好铁路的安全运行，保障铁路运输安全。</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（十五）、项目建设</w:t>
      </w:r>
    </w:p>
    <w:p>
      <w:pPr>
        <w:keepNext/>
        <w:keepLines/>
        <w:spacing w:line="580" w:lineRule="exact"/>
        <w:ind w:firstLine="640" w:firstLineChars="200"/>
        <w:jc w:val="left"/>
        <w:outlineLvl w:val="0"/>
        <w:rPr>
          <w:rFonts w:ascii="仿宋_GB2312" w:hAnsi="Times New Roman" w:eastAsia="仿宋_GB2312" w:cs="DengXian-Regular"/>
          <w:sz w:val="32"/>
          <w:szCs w:val="32"/>
        </w:rPr>
      </w:pPr>
      <w:r>
        <w:rPr>
          <w:rFonts w:hint="eastAsia" w:ascii="仿宋_GB2312" w:hAnsi="Times New Roman" w:eastAsia="仿宋_GB2312" w:cs="DengXian-Regular"/>
          <w:sz w:val="32"/>
          <w:szCs w:val="32"/>
        </w:rPr>
        <w:t>完成项目的进度质量及后期工作。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lang w:eastAsia="zh-CN"/>
        </w:rPr>
        <w:t>年度</w:t>
      </w:r>
      <w:r>
        <w:rPr>
          <w:rFonts w:hint="eastAsia" w:ascii="仿宋_GB2312" w:hAnsi="Calibri" w:eastAsia="仿宋_GB2312" w:cs="Arial Black"/>
          <w:kern w:val="0"/>
          <w:sz w:val="32"/>
          <w:szCs w:val="32"/>
        </w:rPr>
        <w:t>本部门决算汇编范围的独立核算单位（以下简称“单位”）共1个，具体情况如下：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vAlign w:val="top"/>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vAlign w:val="top"/>
          </w:tcPr>
          <w:p>
            <w:pPr>
              <w:spacing w:line="560" w:lineRule="exact"/>
              <w:rPr>
                <w:rFonts w:ascii="仿宋_GB2312" w:hAnsi="Calibri" w:eastAsia="仿宋_GB2312" w:cs="Arial Black"/>
                <w:kern w:val="0"/>
                <w:sz w:val="28"/>
                <w:szCs w:val="28"/>
              </w:rPr>
            </w:pPr>
            <w:r>
              <w:rPr>
                <w:rFonts w:hint="eastAsia" w:ascii="仿宋_GB2312" w:hAnsi="Times New Roman" w:eastAsia="仿宋_GB2312" w:cs="DengXian-Regular"/>
                <w:sz w:val="32"/>
                <w:szCs w:val="32"/>
              </w:rPr>
              <w:t>高邑县大营镇人民政府</w:t>
            </w:r>
          </w:p>
        </w:tc>
        <w:tc>
          <w:tcPr>
            <w:tcW w:w="2404" w:type="dxa"/>
            <w:vAlign w:val="top"/>
          </w:tcPr>
          <w:p>
            <w:pPr>
              <w:spacing w:line="560" w:lineRule="exact"/>
              <w:jc w:val="center"/>
              <w:rPr>
                <w:rFonts w:ascii="仿宋_GB2312" w:hAnsi="Calibri" w:eastAsia="仿宋_GB2312" w:cs="Arial Black"/>
                <w:kern w:val="0"/>
                <w:sz w:val="28"/>
                <w:szCs w:val="28"/>
              </w:rPr>
            </w:pPr>
            <w:r>
              <w:rPr>
                <w:rFonts w:hint="eastAsia" w:ascii="仿宋_GB2312" w:hAnsi="Times New Roman" w:eastAsia="仿宋_GB2312" w:cs="DengXian-Regular"/>
                <w:sz w:val="32"/>
                <w:szCs w:val="32"/>
              </w:rPr>
              <w:t>行政单位</w:t>
            </w:r>
          </w:p>
        </w:tc>
        <w:tc>
          <w:tcPr>
            <w:tcW w:w="2622" w:type="dxa"/>
            <w:vAlign w:val="top"/>
          </w:tcPr>
          <w:p>
            <w:pPr>
              <w:spacing w:line="560" w:lineRule="exact"/>
              <w:jc w:val="center"/>
              <w:rPr>
                <w:rFonts w:ascii="仿宋_GB2312" w:hAnsi="Calibri" w:eastAsia="仿宋_GB2312" w:cs="Arial Black"/>
                <w:kern w:val="0"/>
                <w:sz w:val="28"/>
                <w:szCs w:val="28"/>
              </w:rPr>
            </w:pPr>
            <w:r>
              <w:rPr>
                <w:rFonts w:hint="eastAsia" w:ascii="仿宋_GB2312" w:hAnsi="Times New Roman" w:eastAsia="仿宋_GB2312" w:cs="DengXian-Regular"/>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vAlign w:val="top"/>
          </w:tcPr>
          <w:p>
            <w:pPr>
              <w:spacing w:line="560" w:lineRule="exact"/>
              <w:ind w:firstLine="560" w:firstLineChars="200"/>
              <w:jc w:val="left"/>
              <w:rPr>
                <w:rFonts w:ascii="仿宋_GB2312" w:hAnsi="Calibri" w:eastAsia="仿宋_GB2312" w:cs="Arial Black"/>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720" w:num="1"/>
          <w:titlePg/>
          <w:docGrid w:type="lines" w:linePitch="312" w:charSpace="0"/>
        </w:sectPr>
      </w:pPr>
      <w:r>
        <w:rPr>
          <w:rFonts w:ascii="Calibri" w:hAnsi="Calibri" w:eastAsia="宋体" w:cs="黑体"/>
          <w:kern w:val="2"/>
          <w:sz w:val="72"/>
          <w:szCs w:val="24"/>
          <w:lang w:val="en-US" w:eastAsia="zh-CN" w:bidi="ar-SA"/>
        </w:rPr>
        <w:pict>
          <v:rect id="文本框 151" o:spid="_x0000_s1029" o:spt="1" style="position:absolute;left:0pt;margin-left:-85.7pt;margin-top:238.15pt;height:173.25pt;width:613.65pt;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w:t>
                  </w:r>
                </w:p>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rFonts w:ascii="Calibri" w:hAnsi="Calibri" w:eastAsia="宋体" w:cs="黑体"/>
          <w:kern w:val="2"/>
          <w:sz w:val="72"/>
          <w:szCs w:val="24"/>
          <w:lang w:val="en-US" w:eastAsia="zh-CN" w:bidi="ar-SA"/>
        </w:rPr>
        <w:pict>
          <v:rect id="文本框 2" o:spid="_x0000_s1030" o:spt="1" style="position:absolute;left:0pt;margin-left:-80.95pt;margin-top:-207.65pt;height:263.1pt;width:613.65pt;z-index:251664384;mso-width-relative:page;mso-height-relative:page;" fillcolor="#7F7F7F" filled="t" o:preferrelative="t" stroked="t" coordsize="21600,21600">
            <v:path/>
            <v:fill type="pattern" on="t" color2="#FFFFFF" o:opacity2="65536f" focussize="0,0" r:id="rId11"/>
            <v:stroke weight="1pt" color="#A5A5A5"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w:t>
                  </w:r>
                  <w:r>
                    <w:rPr>
                      <w:rFonts w:hint="eastAsia" w:ascii="黑体" w:hAnsi="黑体" w:eastAsia="黑体" w:cs="黑体"/>
                      <w:color w:val="000000"/>
                      <w:sz w:val="90"/>
                      <w:szCs w:val="90"/>
                      <w:lang w:eastAsia="zh-CN"/>
                    </w:rPr>
                    <w:t>年度</w:t>
                  </w:r>
                  <w:r>
                    <w:rPr>
                      <w:rFonts w:hint="eastAsia" w:ascii="黑体" w:hAnsi="黑体" w:eastAsia="黑体" w:cs="黑体"/>
                      <w:color w:val="000000"/>
                      <w:sz w:val="90"/>
                      <w:szCs w:val="90"/>
                    </w:rPr>
                    <w:t>部门决算情况说明</w:t>
                  </w:r>
                </w:p>
                <w:p>
                  <w:pPr>
                    <w:widowControl/>
                    <w:jc w:val="center"/>
                  </w:pPr>
                </w:p>
                <w:p/>
              </w:txbxContent>
            </v:textbox>
          </v:rect>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收、支总计（含结转和结余）4609.13万元。与2019</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决算相比，收支各增加565.42万元，增长13.9%，主要原因是</w:t>
      </w:r>
      <w:r>
        <w:rPr>
          <w:rFonts w:hint="eastAsia" w:ascii="仿宋_GB2312" w:hAnsi="Times New Roman" w:eastAsia="仿宋_GB2312" w:cs="DengXian-Regular"/>
          <w:sz w:val="32"/>
          <w:szCs w:val="32"/>
        </w:rPr>
        <w:t>项目</w:t>
      </w:r>
      <w:r>
        <w:rPr>
          <w:rFonts w:ascii="仿宋_GB2312" w:hAnsi="Times New Roman" w:eastAsia="仿宋_GB2312" w:cs="DengXian-Regular"/>
          <w:sz w:val="32"/>
          <w:szCs w:val="32"/>
        </w:rPr>
        <w:t>支出</w:t>
      </w:r>
      <w:r>
        <w:rPr>
          <w:rFonts w:hint="eastAsia" w:ascii="仿宋_GB2312" w:hAnsi="Times New Roman" w:eastAsia="仿宋_GB2312" w:cs="DengXian-Regular"/>
          <w:sz w:val="32"/>
          <w:szCs w:val="32"/>
        </w:rPr>
        <w:t>增加，上</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结余结转金额大。</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pict>
          <v:shape id="Object 27" o:spid="_x0000_s1043" o:spt="75" type="#_x0000_t75" style="position:absolute;left:0pt;margin-left:71.2pt;margin-top:0.1pt;height:180pt;width:328.5pt;z-index:-251646976;mso-width-relative:page;mso-height-relative:page;" o:ole="t" filled="f" coordsize="21600,21600" o:gfxdata="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">
            <v:path/>
            <v:fill on="f" focussize="0,0"/>
            <v:stroke/>
            <v:imagedata r:id="rId13" o:title=""/>
            <o:lock v:ext="edit" aspectratio="t"/>
          </v:shape>
          <o:OLEObject Type="Embed" ProgID="excel.sheet.8" ShapeID="Object 27" DrawAspect="Content" ObjectID="_1468075725" r:id="rId12">
            <o:LockedField>false</o:LockedField>
          </o:OLEObject>
        </w:pict>
      </w: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黑体" w:hAnsi="Calibri"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w:t>
      </w:r>
      <w:r>
        <w:rPr>
          <w:rFonts w:hint="eastAsia" w:ascii="仿宋_GB2312" w:hAnsi="Times New Roman" w:eastAsia="仿宋_GB2312" w:cs="Wingdings"/>
          <w:color w:val="000000"/>
          <w:sz w:val="32"/>
          <w:szCs w:val="32"/>
          <w:lang w:eastAsia="zh-CN"/>
        </w:rPr>
        <w:t>年度</w:t>
      </w:r>
      <w:r>
        <w:rPr>
          <w:rFonts w:hint="eastAsia" w:ascii="仿宋_GB2312" w:hAnsi="Times New Roman" w:eastAsia="仿宋_GB2312" w:cs="Wingdings"/>
          <w:color w:val="000000"/>
          <w:sz w:val="32"/>
          <w:szCs w:val="32"/>
        </w:rPr>
        <w:t>本</w:t>
      </w:r>
      <w:r>
        <w:rPr>
          <w:rFonts w:hint="eastAsia" w:ascii="仿宋_GB2312" w:hAnsi="Times New Roman" w:eastAsia="仿宋_GB2312" w:cs="Wingdings"/>
          <w:color w:val="000000"/>
          <w:sz w:val="32"/>
          <w:szCs w:val="32"/>
          <w:lang w:eastAsia="zh-CN"/>
        </w:rPr>
        <w:t>年度</w:t>
      </w:r>
      <w:r>
        <w:rPr>
          <w:rFonts w:hint="eastAsia" w:ascii="仿宋_GB2312" w:hAnsi="Times New Roman" w:eastAsia="仿宋_GB2312" w:cs="Wingdings"/>
          <w:color w:val="000000"/>
          <w:sz w:val="32"/>
          <w:szCs w:val="32"/>
        </w:rPr>
        <w:t>收入合计</w:t>
      </w:r>
      <w:r>
        <w:rPr>
          <w:rFonts w:hint="eastAsia" w:ascii="仿宋_GB2312" w:hAnsi="Times New Roman" w:eastAsia="仿宋_GB2312" w:cs="Wingdings"/>
          <w:color w:val="000000"/>
          <w:sz w:val="32"/>
          <w:szCs w:val="32"/>
          <w:lang w:val="en-US" w:eastAsia="zh-CN"/>
        </w:rPr>
        <w:t>3378.84</w:t>
      </w:r>
      <w:r>
        <w:rPr>
          <w:rFonts w:hint="eastAsia" w:ascii="仿宋_GB2312" w:hAnsi="Times New Roman" w:eastAsia="仿宋_GB2312" w:cs="Wingdings"/>
          <w:color w:val="000000"/>
          <w:sz w:val="32"/>
          <w:szCs w:val="32"/>
        </w:rPr>
        <w:t>万元，其中：财政拨款收入</w:t>
      </w:r>
      <w:r>
        <w:rPr>
          <w:rFonts w:hint="eastAsia" w:ascii="仿宋_GB2312" w:hAnsi="Times New Roman" w:eastAsia="仿宋_GB2312" w:cs="Wingdings"/>
          <w:color w:val="000000"/>
          <w:sz w:val="32"/>
          <w:szCs w:val="32"/>
          <w:lang w:val="en-US" w:eastAsia="zh-CN"/>
        </w:rPr>
        <w:t>3378.84</w:t>
      </w:r>
      <w:r>
        <w:rPr>
          <w:rFonts w:hint="eastAsia" w:ascii="仿宋_GB2312" w:hAnsi="Times New Roman" w:eastAsia="仿宋_GB2312" w:cs="Wingdings"/>
          <w:color w:val="000000"/>
          <w:sz w:val="32"/>
          <w:szCs w:val="32"/>
        </w:rPr>
        <w:t>万元，占100%；上级补助收入0万元，占0%；事业收入0万元，占0%；经营收入0万元，占0%；附属单位上缴收入0万元，占0%；其他收入0万元，占0%。</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支出合计3578.43万元，其中：基本支出1114.43万元，占31.1%；项目支出2463.99万元，占68.</w:t>
      </w:r>
      <w:r>
        <w:rPr>
          <w:rFonts w:hint="eastAsia" w:ascii="仿宋_GB2312" w:hAnsi="Times New Roman" w:eastAsia="仿宋_GB2312" w:cs="Wingdings"/>
          <w:sz w:val="32"/>
          <w:szCs w:val="32"/>
          <w:lang w:val="en-US" w:eastAsia="zh-CN"/>
        </w:rPr>
        <w:t>9</w:t>
      </w:r>
      <w:r>
        <w:rPr>
          <w:rFonts w:hint="eastAsia" w:ascii="仿宋_GB2312" w:hAnsi="Times New Roman" w:eastAsia="仿宋_GB2312" w:cs="Wingdings"/>
          <w:sz w:val="32"/>
          <w:szCs w:val="32"/>
        </w:rPr>
        <w:t>%；上缴上级支出0万元，占0%；经营支出0万元，占0%；对附属单位补助支出0万元，占0%。如图所示：</w: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1260" w:firstLineChars="600"/>
        <w:rPr>
          <w:rFonts w:ascii="仿宋_GB2312" w:hAnsi="Times New Roman" w:eastAsia="仿宋_GB2312" w:cs="Wingdings"/>
          <w:sz w:val="32"/>
          <w:szCs w:val="32"/>
        </w:rPr>
      </w:pPr>
      <w:r>
        <w:pict>
          <v:shape id="_x0000_s1042" o:spid="_x0000_s1042" o:spt="75" type="#_x0000_t75" style="position:absolute;left:0pt;margin-left:42.75pt;margin-top:-8.9pt;height:201pt;width:334.5pt;mso-wrap-distance-left:9pt;mso-wrap-distance-right:9pt;z-index:-251648000;mso-width-relative:page;mso-height-relative:page;" filled="f" o:preferrelative="t" stroked="f" coordsize="21600,21600" wrapcoords="21592 -2 0 0 0 21600 21592 21602 8 21602 21600 21600 21600 0 8 -2 21592 -2">
            <v:path/>
            <v:fill on="f" focussize="0,0"/>
            <v:stroke on="f"/>
            <v:imagedata r:id="rId14" o:title=""/>
            <o:lock v:ext="edit" aspectratio="t"/>
            <w10:wrap type="tight"/>
          </v:shape>
        </w:pic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3" w:firstLineChars="200"/>
        <w:outlineLvl w:val="1"/>
        <w:rPr>
          <w:rFonts w:ascii="黑体" w:hAnsi="Calibri" w:eastAsia="黑体" w:cs="Times New Roman"/>
          <w:b/>
          <w:bC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ascii="Calibri" w:hAnsi="Calibri" w:eastAsia="宋体" w:cs="黑体"/>
          <w:kern w:val="2"/>
          <w:sz w:val="32"/>
          <w:szCs w:val="24"/>
          <w:lang w:val="en-US" w:eastAsia="zh-CN" w:bidi="ar-SA"/>
        </w:rPr>
        <w:pict>
          <v:rect id="文本框 30" o:spid="_x0000_s1033" o:spt="1" style="position:absolute;left:0pt;margin-left:99.3pt;margin-top:8.3pt;height:38.05pt;width:260.95pt;z-index:-251657216;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图2：支出决算构成情况（按支出性质）</w:t>
                  </w:r>
                </w:p>
                <w:p>
                  <w:pPr>
                    <w:spacing w:after="160" w:line="480" w:lineRule="auto"/>
                    <w:rPr>
                      <w:rFonts w:ascii="Times New Roman" w:hAnsi="Times New Roman" w:eastAsia="宋体" w:cs="Times New Roman"/>
                      <w:sz w:val="20"/>
                    </w:rPr>
                  </w:pPr>
                </w:p>
              </w:txbxContent>
            </v:textbox>
          </v:rect>
        </w:pic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w:t>
      </w:r>
      <w:r>
        <w:rPr>
          <w:rFonts w:hint="eastAsia" w:ascii="楷体_GB2312" w:hAnsi="Times New Roman" w:eastAsia="楷体_GB2312" w:cs="Mongolian Baiti"/>
          <w:b/>
          <w:bCs/>
          <w:sz w:val="32"/>
          <w:szCs w:val="32"/>
          <w:lang w:eastAsia="zh-CN"/>
        </w:rPr>
        <w:t>年度</w:t>
      </w:r>
      <w:r>
        <w:rPr>
          <w:rFonts w:hint="eastAsia" w:ascii="楷体_GB2312" w:hAnsi="Times New Roman" w:eastAsia="楷体_GB2312" w:cs="Mongolian Baiti"/>
          <w:b/>
          <w:bCs/>
          <w:sz w:val="32"/>
          <w:szCs w:val="32"/>
        </w:rPr>
        <w:t>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收入3378.84万元,比2019</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减少655.15 万元，降低16.2%，主要是</w:t>
      </w:r>
      <w:r>
        <w:rPr>
          <w:rFonts w:hint="eastAsia" w:ascii="仿宋_GB2312" w:hAnsi="Times New Roman" w:eastAsia="仿宋_GB2312" w:cs="DengXian-Regular"/>
          <w:sz w:val="32"/>
          <w:szCs w:val="32"/>
        </w:rPr>
        <w:t>财政拨款收入减少</w:t>
      </w: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支出3578.43万元，增加765.01 万元，增长27.</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%，主要是项目支出增多。具体情况如下：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收入2748.79万元，比上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减少1269.45 万元；主要是财政拨款收入减少；本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支出2948.37万元，比上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增加150.69 万元，增长5.</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%，主要是项目支出增加，支出结构调整。</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收入630.06万元，比上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增加614.31 万元，增长3900.</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%，主要原因是财政拨款收入增加；本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支出630.06万元，比上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增加614.31万元，增长3900.</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%，主要是占地补偿项目增多，项目支出增加。</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w:t>
      </w:r>
      <w:r>
        <w:rPr>
          <w:rFonts w:hint="eastAsia" w:ascii="楷体_GB2312" w:hAnsi="Times New Roman" w:eastAsia="楷体_GB2312" w:cs="Mongolian Baiti"/>
          <w:b/>
          <w:bCs/>
          <w:sz w:val="32"/>
          <w:szCs w:val="32"/>
          <w:lang w:eastAsia="zh-CN"/>
        </w:rPr>
        <w:t>年度</w:t>
      </w:r>
      <w:r>
        <w:rPr>
          <w:rFonts w:hint="eastAsia" w:ascii="楷体_GB2312" w:hAnsi="Times New Roman" w:eastAsia="楷体_GB2312" w:cs="Mongolian Baiti"/>
          <w:b/>
          <w:bCs/>
          <w:sz w:val="32"/>
          <w:szCs w:val="32"/>
        </w:rPr>
        <w:t>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收入3378.84万元，完成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初预算的</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69.</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初预算增加1382.65万元，决算数大于预算数主要原因是</w:t>
      </w:r>
      <w:r>
        <w:rPr>
          <w:rFonts w:hint="eastAsia" w:ascii="仿宋_GB2312" w:hAnsi="Times New Roman" w:eastAsia="仿宋_GB2312" w:cs="DengXian-Regular"/>
          <w:sz w:val="32"/>
          <w:szCs w:val="32"/>
        </w:rPr>
        <w:t>项目支出增加</w:t>
      </w: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支出3578.43万元，完成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初预算的</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79.</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初预算增加1582.24万元，决算数大于预算数主要原因是项目支出增加。具体情况如下：</w:t>
      </w:r>
    </w:p>
    <w:p>
      <w:pPr>
        <w:numPr>
          <w:ilvl w:val="0"/>
          <w:numId w:val="2"/>
        </w:numPr>
        <w:ind w:left="-10" w:firstLine="64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初预算210.1%，比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初预算增加1440.64万元，主要是项目支出增加；支出完成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初预算225.</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初预算增加1640.22万元，主要是项目支出增加。</w:t>
      </w:r>
    </w:p>
    <w:p>
      <w:pPr>
        <w:numPr>
          <w:ilvl w:val="0"/>
          <w:numId w:val="2"/>
        </w:numPr>
        <w:ind w:left="-10" w:firstLine="640"/>
      </w:pPr>
      <w:r>
        <w:rPr>
          <w:rFonts w:hint="eastAsia" w:ascii="仿宋_GB2312" w:hAnsi="Times New Roman" w:eastAsia="仿宋_GB2312" w:cs="Wingdings"/>
          <w:sz w:val="32"/>
          <w:szCs w:val="32"/>
        </w:rPr>
        <w:t>政府性基金预算财政拨款本</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收入完成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初预算91.</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初预算减少57.98万元，主要是项目支出减少；支出完成</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初预算91.</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%，比</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w:t>
      </w:r>
      <w:r>
        <w:rPr>
          <w:rFonts w:hint="eastAsia" w:ascii="仿宋_GB2312" w:hAnsi="Times New Roman" w:eastAsia="仿宋_GB2312" w:cs="Wingdings"/>
          <w:sz w:val="32"/>
          <w:szCs w:val="32"/>
          <w:lang w:val="en-US" w:eastAsia="zh-CN"/>
        </w:rPr>
        <w:t>减少</w:t>
      </w:r>
      <w:bookmarkStart w:id="1" w:name="_GoBack"/>
      <w:bookmarkEnd w:id="1"/>
      <w:r>
        <w:rPr>
          <w:rFonts w:hint="eastAsia" w:ascii="仿宋_GB2312" w:hAnsi="Times New Roman" w:eastAsia="仿宋_GB2312" w:cs="Wingdings"/>
          <w:sz w:val="32"/>
          <w:szCs w:val="32"/>
        </w:rPr>
        <w:t>57.98万元，主要是项目支出减少</w:t>
      </w:r>
      <w:r>
        <w:rPr>
          <w:rFonts w:hint="eastAsia"/>
        </w:rPr>
        <w:t>。</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 xml:space="preserve">2020 </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财政拨款支出3578.43万元，主要用于以下方面：一般公共服务（类）支出795.96万元，占22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%；社会保障和就业支出80.62万元，占2</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%；卫生健康支出106.13万元，占3</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%；节能环保支出72.00万元，占2</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%；城乡社区支出2144.06万元，</w:t>
      </w:r>
      <w:r>
        <w:rPr>
          <w:rFonts w:hint="eastAsia" w:ascii="仿宋_GB2312" w:hAnsi="Times New Roman" w:eastAsia="仿宋_GB2312" w:cs="Wingdings"/>
          <w:sz w:val="32"/>
          <w:szCs w:val="32"/>
          <w:lang w:eastAsia="zh-CN"/>
        </w:rPr>
        <w:t>占</w:t>
      </w:r>
      <w:r>
        <w:rPr>
          <w:rFonts w:hint="eastAsia" w:ascii="仿宋_GB2312" w:hAnsi="Times New Roman" w:eastAsia="仿宋_GB2312" w:cs="Wingdings"/>
          <w:sz w:val="32"/>
          <w:szCs w:val="32"/>
          <w:lang w:val="en-US" w:eastAsia="zh-CN"/>
        </w:rPr>
        <w:t>59.9</w:t>
      </w:r>
      <w:r>
        <w:rPr>
          <w:rFonts w:hint="eastAsia" w:ascii="仿宋_GB2312" w:hAnsi="Times New Roman" w:eastAsia="仿宋_GB2312" w:cs="Wingdings"/>
          <w:sz w:val="32"/>
          <w:szCs w:val="32"/>
        </w:rPr>
        <w:t>%；农林水支出 319.94万元，占</w:t>
      </w:r>
      <w:r>
        <w:rPr>
          <w:rFonts w:hint="eastAsia" w:ascii="仿宋_GB2312" w:hAnsi="Times New Roman" w:eastAsia="仿宋_GB2312" w:cs="Wingdings"/>
          <w:sz w:val="32"/>
          <w:szCs w:val="32"/>
          <w:lang w:val="en-US" w:eastAsia="zh-CN"/>
        </w:rPr>
        <w:t>8.9</w:t>
      </w:r>
      <w:r>
        <w:rPr>
          <w:rFonts w:hint="eastAsia" w:ascii="仿宋_GB2312" w:hAnsi="Times New Roman" w:eastAsia="仿宋_GB2312" w:cs="Wingdings"/>
          <w:sz w:val="32"/>
          <w:szCs w:val="32"/>
        </w:rPr>
        <w:t>%；住房保障支出59.72万元，占</w:t>
      </w:r>
      <w:r>
        <w:rPr>
          <w:rFonts w:hint="eastAsia" w:ascii="仿宋_GB2312" w:hAnsi="Times New Roman" w:eastAsia="仿宋_GB2312" w:cs="Wingdings"/>
          <w:sz w:val="32"/>
          <w:szCs w:val="32"/>
          <w:lang w:val="en-US" w:eastAsia="zh-CN"/>
        </w:rPr>
        <w:t>1.7</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楷体_GB2312" w:hAnsi="Times New Roman" w:eastAsia="楷体_GB2312" w:cs="Mongolian Baiti"/>
          <w:b/>
          <w:bCs/>
          <w:sz w:val="32"/>
          <w:szCs w:val="32"/>
        </w:rPr>
      </w:pPr>
      <w:r>
        <w:rPr>
          <w:sz w:val="32"/>
        </w:rPr>
        <w:pict>
          <v:group id="_x0000_s1041" o:spid="_x0000_s1041" o:spt="203" style="position:absolute;left:0pt;margin-left:-6pt;margin-top:13.6pt;height:247.65pt;width:441.8pt;z-index:-251649024;mso-width-relative:page;mso-height-relative:page;" coordorigin="7015,208705" coordsize="8836,4953">
            <o:lock v:ext="edit" aspectratio="f"/>
            <v:rect id="文本框 32" o:spid="_x0000_s1037" o:spt="1" style="position:absolute;left:8965;top:213042;height:617;width:5632;" fillcolor="#FFFFFF" filled="t" stroked="f" coordsize="21600,21600">
              <v:path/>
              <v:fill on="t" color2="#FFFFFF" focussize="0,0"/>
              <v:stroke on="f"/>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图3：财政拨款支出决算结构（按功能分类）</w:t>
                    </w:r>
                  </w:p>
                  <w:p>
                    <w:pPr>
                      <w:spacing w:after="160" w:line="480" w:lineRule="auto"/>
                      <w:rPr>
                        <w:rFonts w:ascii="Times New Roman" w:hAnsi="Times New Roman" w:eastAsia="宋体" w:cs="Times New Roman"/>
                        <w:sz w:val="20"/>
                      </w:rPr>
                    </w:pPr>
                  </w:p>
                </w:txbxContent>
              </v:textbox>
            </v:rect>
            <v:shape id="_x0000_s1040" o:spid="_x0000_s1040" o:spt="75" type="#_x0000_t75" style="position:absolute;left:7015;top:208705;height:4043;width:8836;" filled="f" o:preferrelative="t" stroked="f" coordsize="21600,21600">
              <v:path/>
              <v:fill on="f" focussize="0,0"/>
              <v:stroke on="f"/>
              <v:imagedata r:id="rId15" o:title=""/>
              <o:lock v:ext="edit" aspectratio="t"/>
            </v:shape>
          </v:group>
        </w:pic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 xml:space="preserve">2020 </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财政拨款基本支出1114.44万元，其中：人员经费444.07万元，主要包括基本工资、津贴补贴、奖金、绩效工资、机关事业单位基本养老保险缴费、职业</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金缴费、职工基本医疗保险缴费、公务员医疗补助缴费、住房公积金、其他社会保障缴费、生活补助、其他对个人和家庭的补助支出；公用经费670.37万元，主要包括办公费、印刷费、电费、邮电费、取暖费、差旅费、维修（护）费、公务接待费、劳务费、委托业务费、公务用车运行维护费、其他</w:t>
      </w:r>
      <w:r>
        <w:rPr>
          <w:rFonts w:hint="eastAsia" w:ascii="仿宋_GB2312" w:hAnsi="Times New Roman" w:eastAsia="仿宋_GB2312" w:cs="Wingdings"/>
          <w:sz w:val="32"/>
          <w:szCs w:val="32"/>
          <w:lang w:val="en-US" w:eastAsia="zh-CN"/>
        </w:rPr>
        <w:t>交通费用</w:t>
      </w:r>
      <w:r>
        <w:rPr>
          <w:rFonts w:hint="eastAsia" w:ascii="仿宋_GB2312" w:hAnsi="Times New Roman" w:eastAsia="仿宋_GB2312" w:cs="Wingdings"/>
          <w:sz w:val="32"/>
          <w:szCs w:val="32"/>
          <w:lang w:eastAsia="zh-CN"/>
        </w:rPr>
        <w:t>。</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“三公”经费财政拨款支出预算为1.71万元，支出决算为1.71元，</w:t>
      </w:r>
      <w:r>
        <w:rPr>
          <w:rFonts w:hint="eastAsia" w:ascii="仿宋_GB2312" w:hAnsi="Times New Roman" w:eastAsia="仿宋_GB2312" w:cs="DengXian-Regular"/>
          <w:sz w:val="32"/>
          <w:szCs w:val="32"/>
        </w:rPr>
        <w:t>与</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初预算持平，主要是弘扬勤俭节约作风，反对铺张浪费</w:t>
      </w:r>
      <w:r>
        <w:rPr>
          <w:rFonts w:hint="eastAsia" w:ascii="仿宋_GB2312" w:hAnsi="Times New Roman" w:eastAsia="仿宋_GB2312" w:cs="Wingdings"/>
          <w:sz w:val="32"/>
          <w:szCs w:val="32"/>
        </w:rPr>
        <w:t>；较2019</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增加0.41万元，增长31.5%，主要是车辆增加，日常维护费用增加。</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hint="eastAsia" w:ascii="仿宋_GB2312" w:eastAsia="仿宋_GB2312" w:cs="DengXian-Regular"/>
          <w:sz w:val="32"/>
          <w:szCs w:val="32"/>
          <w:lang w:eastAsia="zh-CN"/>
        </w:rPr>
      </w:pPr>
      <w:r>
        <w:rPr>
          <w:rFonts w:hint="eastAsia" w:ascii="楷体_GB2312" w:hAnsi="Times New Roman" w:eastAsia="楷体_GB2312" w:cs="Mongolian Baiti"/>
          <w:b/>
          <w:bCs/>
          <w:sz w:val="32"/>
          <w:szCs w:val="32"/>
        </w:rPr>
        <w:t>1.因公出国（境）费。</w:t>
      </w:r>
      <w:r>
        <w:rPr>
          <w:rFonts w:hint="eastAsia" w:ascii="仿宋_GB2312" w:eastAsia="仿宋_GB2312" w:cs="DengXian-Regular"/>
          <w:sz w:val="32"/>
          <w:szCs w:val="32"/>
        </w:rPr>
        <w:t>本部门2020</w:t>
      </w:r>
      <w:r>
        <w:rPr>
          <w:rFonts w:hint="eastAsia" w:ascii="仿宋_GB2312" w:eastAsia="仿宋_GB2312" w:cs="DengXian-Regular"/>
          <w:sz w:val="32"/>
          <w:szCs w:val="32"/>
          <w:lang w:eastAsia="zh-CN"/>
        </w:rPr>
        <w:t>年度</w:t>
      </w:r>
      <w:r>
        <w:rPr>
          <w:rFonts w:hint="eastAsia" w:ascii="仿宋_GB2312" w:eastAsia="仿宋_GB2312" w:cs="DengXian-Regular"/>
          <w:sz w:val="32"/>
          <w:szCs w:val="32"/>
        </w:rPr>
        <w:t>因公出国（境）团组0个、共0人/参加其他单位组织的因公出国（境）团组0个、共0人/无本单位组织的出国（境）团组。因公出国（境）费支出较</w:t>
      </w:r>
      <w:r>
        <w:rPr>
          <w:rFonts w:hint="eastAsia" w:ascii="仿宋_GB2312" w:eastAsia="仿宋_GB2312" w:cs="DengXian-Regular"/>
          <w:sz w:val="32"/>
          <w:szCs w:val="32"/>
          <w:lang w:eastAsia="zh-CN"/>
        </w:rPr>
        <w:t>年度</w:t>
      </w:r>
      <w:r>
        <w:rPr>
          <w:rFonts w:hint="eastAsia" w:ascii="仿宋_GB2312" w:eastAsia="仿宋_GB2312" w:cs="DengXian-Regular"/>
          <w:sz w:val="32"/>
          <w:szCs w:val="32"/>
        </w:rPr>
        <w:t>初预算增加0万元，增长0%,主要是没有出国招商活动</w:t>
      </w:r>
      <w:r>
        <w:rPr>
          <w:rFonts w:hint="eastAsia" w:ascii="仿宋_GB2312" w:eastAsia="仿宋_GB2312" w:cs="DengXian-Regular"/>
          <w:sz w:val="32"/>
          <w:szCs w:val="32"/>
          <w:lang w:eastAsia="zh-CN"/>
        </w:rPr>
        <w:t>。</w:t>
      </w:r>
      <w:r>
        <w:rPr>
          <w:rFonts w:hint="eastAsia" w:ascii="仿宋_GB2312" w:hAnsi="Times New Roman" w:eastAsia="仿宋_GB2312" w:cs="Wingdings"/>
          <w:sz w:val="32"/>
          <w:szCs w:val="32"/>
        </w:rPr>
        <w:t>因公出国（境）费支出与</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初预算持平；与2019</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决算支出持平</w:t>
      </w:r>
      <w:r>
        <w:rPr>
          <w:rFonts w:hint="eastAsia" w:ascii="仿宋_GB2312" w:hAnsi="Times New Roman" w:eastAsia="仿宋_GB2312" w:cs="Wingdings"/>
          <w:sz w:val="32"/>
          <w:szCs w:val="32"/>
          <w:lang w:eastAsia="zh-CN"/>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公务用车购置及运行维护费支出0万元，</w:t>
      </w:r>
      <w:r>
        <w:rPr>
          <w:rFonts w:hint="eastAsia" w:ascii="仿宋_GB2312" w:hAnsi="Times New Roman" w:eastAsia="仿宋_GB2312" w:cs="DengXian-Regular"/>
          <w:sz w:val="32"/>
          <w:szCs w:val="32"/>
        </w:rPr>
        <w:t>与</w:t>
      </w:r>
      <w:r>
        <w:rPr>
          <w:rFonts w:hint="eastAsia" w:ascii="仿宋_GB2312" w:hAnsi="Times New Roman" w:eastAsia="仿宋_GB2312" w:cs="DengXian-Regular"/>
          <w:sz w:val="32"/>
          <w:szCs w:val="32"/>
          <w:lang w:eastAsia="zh-CN"/>
        </w:rPr>
        <w:t>年度</w:t>
      </w:r>
      <w:r>
        <w:rPr>
          <w:rFonts w:hint="eastAsia" w:ascii="仿宋_GB2312" w:hAnsi="Times New Roman" w:eastAsia="仿宋_GB2312" w:cs="DengXian-Regular"/>
          <w:sz w:val="32"/>
          <w:szCs w:val="32"/>
        </w:rPr>
        <w:t>初预算持平，主要是弘扬勤俭节约作风，反对铺张浪费</w:t>
      </w:r>
      <w:r>
        <w:rPr>
          <w:rFonts w:hint="eastAsia" w:ascii="仿宋_GB2312" w:hAnsi="Times New Roman" w:eastAsia="仿宋_GB2312" w:cs="Wingdings"/>
          <w:sz w:val="32"/>
          <w:szCs w:val="32"/>
        </w:rPr>
        <w:t>；较上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增加0.41万元，增长31.5%，主要是因综合行政执法队工作需要，配备执法车辆两辆，日常维护费用增加。</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公务用车购置量0辆，发生“公务用车购置”经费支出0万元。公务用车购置费支出较预算增加（减少）0万元，增长0%,主要是</w:t>
      </w:r>
      <w:r>
        <w:rPr>
          <w:rFonts w:hint="eastAsia" w:ascii="仿宋_GB2312" w:hAnsi="Times New Roman" w:eastAsia="仿宋_GB2312" w:cs="DengXian-Regular"/>
          <w:sz w:val="32"/>
          <w:szCs w:val="32"/>
        </w:rPr>
        <w:t>降低支出，节约开支</w:t>
      </w:r>
      <w:r>
        <w:rPr>
          <w:rFonts w:hint="eastAsia" w:ascii="仿宋_GB2312" w:hAnsi="Times New Roman" w:eastAsia="仿宋_GB2312" w:cs="Wingdings"/>
          <w:sz w:val="32"/>
          <w:szCs w:val="32"/>
        </w:rPr>
        <w:t>；较上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增加（减少）0万元，增长0%,主要是厉行勤俭节约。</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单位公务用车保有量3辆,发生运行维护费支出1.5万元。公车运行维护费支出较预算增加0万元，增长0%,主要是节约开支；较上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增加0.2万元，增长15.</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%，主要是因综合行政执法队工作需要，配备执法车辆两辆，日常维护费用增加。</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公务接待费支出0.21万元，完成预算的100%。发生</w:t>
      </w:r>
      <w:r>
        <w:rPr>
          <w:rFonts w:hint="eastAsia" w:ascii="仿宋_GB2312" w:hAnsi="Times New Roman" w:eastAsia="仿宋_GB2312" w:cs="Wingdings"/>
          <w:sz w:val="32"/>
          <w:szCs w:val="32"/>
        </w:rPr>
        <w:t>公务接待共5批次、25人次。公务接待费支出较预算增加0万元，增长0%,主要是厉行勤俭节约；较上</w:t>
      </w:r>
      <w:r>
        <w:rPr>
          <w:rFonts w:hint="eastAsia" w:ascii="仿宋_GB2312" w:hAnsi="Times New Roman" w:eastAsia="仿宋_GB2312" w:cs="Wingdings"/>
          <w:sz w:val="32"/>
          <w:szCs w:val="32"/>
          <w:lang w:eastAsia="zh-CN"/>
        </w:rPr>
        <w:t>年度</w:t>
      </w:r>
      <w:r>
        <w:rPr>
          <w:rFonts w:hint="eastAsia" w:ascii="仿宋_GB2312" w:hAnsi="Times New Roman" w:eastAsia="仿宋_GB2312" w:cs="Wingdings"/>
          <w:sz w:val="32"/>
          <w:szCs w:val="32"/>
        </w:rPr>
        <w:t>增加0.21万元，增长100%,主要是大力发展乡村振兴，招商引资活动增加。</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项目支出全面开展绩效自评，其中，一般公共预算项目</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1833.94</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%；政府性基金预算项目1个,共涉及资金6</w:t>
      </w:r>
      <w:r>
        <w:rPr>
          <w:rFonts w:ascii="仿宋_GB2312" w:hAnsi="仿宋_GB2312" w:eastAsia="仿宋_GB2312" w:cs="仿宋_GB2312"/>
          <w:sz w:val="32"/>
          <w:szCs w:val="32"/>
        </w:rPr>
        <w:t>30.06</w:t>
      </w:r>
      <w:r>
        <w:rPr>
          <w:rFonts w:hint="eastAsia" w:ascii="仿宋_GB2312" w:hAnsi="仿宋_GB2312" w:eastAsia="仿宋_GB2312" w:cs="仿宋_GB2312"/>
          <w:sz w:val="32"/>
          <w:szCs w:val="32"/>
        </w:rPr>
        <w:t>万元，占政府性基金预算项目支出总额的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组织对“</w:t>
      </w:r>
      <w:bookmarkStart w:id="0" w:name="_Hlk87904056"/>
      <w:r>
        <w:rPr>
          <w:rFonts w:hint="eastAsia" w:ascii="仿宋_GB2312" w:hAnsi="仿宋_GB2312" w:eastAsia="仿宋_GB2312" w:cs="仿宋_GB2312"/>
          <w:sz w:val="32"/>
          <w:szCs w:val="32"/>
        </w:rPr>
        <w:t>正常离任村‘两委’正职生活补贴</w:t>
      </w:r>
      <w:bookmarkEnd w:id="0"/>
      <w:r>
        <w:rPr>
          <w:rFonts w:hint="eastAsia" w:ascii="仿宋_GB2312" w:hAnsi="仿宋_GB2312" w:eastAsia="仿宋_GB2312" w:cs="仿宋_GB2312"/>
          <w:sz w:val="32"/>
          <w:szCs w:val="32"/>
        </w:rPr>
        <w:t>”、“服务群众及党员活动经费”等项目开展了部门重点评价，涉及一般公共预算支出</w:t>
      </w:r>
      <w:r>
        <w:rPr>
          <w:rFonts w:ascii="仿宋_GB2312" w:hAnsi="仿宋_GB2312" w:eastAsia="仿宋_GB2312" w:cs="仿宋_GB2312"/>
          <w:sz w:val="32"/>
          <w:szCs w:val="32"/>
        </w:rPr>
        <w:t>1833.94</w:t>
      </w:r>
      <w:r>
        <w:rPr>
          <w:rFonts w:hint="eastAsia" w:ascii="仿宋_GB2312" w:hAnsi="仿宋_GB2312" w:eastAsia="仿宋_GB2312" w:cs="仿宋_GB2312"/>
          <w:sz w:val="32"/>
          <w:szCs w:val="32"/>
        </w:rPr>
        <w:t>万元，政府性基金预算支出</w:t>
      </w:r>
      <w:r>
        <w:rPr>
          <w:rFonts w:ascii="仿宋_GB2312" w:hAnsi="仿宋_GB2312" w:eastAsia="仿宋_GB2312" w:cs="仿宋_GB2312"/>
          <w:sz w:val="32"/>
          <w:szCs w:val="32"/>
        </w:rPr>
        <w:t>630.06</w:t>
      </w:r>
      <w:r>
        <w:rPr>
          <w:rFonts w:hint="eastAsia" w:ascii="仿宋_GB2312" w:hAnsi="仿宋_GB2312" w:eastAsia="仿宋_GB2312" w:cs="仿宋_GB2312"/>
          <w:sz w:val="32"/>
          <w:szCs w:val="32"/>
        </w:rPr>
        <w:t>万元。部门内评审机构对“正常离任村‘两委’正职生活补贴”“疫情防控一线人员补助经费”等项目开展绩效评价。从评价情况来看，</w:t>
      </w:r>
      <w:r>
        <w:rPr>
          <w:rFonts w:ascii="仿宋_GB2312" w:hAnsi="仿宋_GB2312" w:eastAsia="仿宋_GB2312" w:cs="仿宋_GB2312"/>
          <w:sz w:val="32"/>
          <w:szCs w:val="32"/>
        </w:rPr>
        <w:t>6</w:t>
      </w:r>
      <w:r>
        <w:rPr>
          <w:rFonts w:hint="eastAsia" w:ascii="仿宋_GB2312" w:hAnsi="仿宋_GB2312" w:eastAsia="仿宋_GB2312" w:cs="仿宋_GB2312"/>
          <w:sz w:val="32"/>
          <w:szCs w:val="32"/>
        </w:rPr>
        <w:t>个项目整体落实情况良好，达到预期目标。</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正常离任村“两委”正职生活补贴项目绩效自评综述：根据</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初设定的绩效目标，正常离任村“两委”正职生活补贴项目绩效自评得分为</w:t>
      </w:r>
      <w:r>
        <w:rPr>
          <w:rFonts w:ascii="仿宋_GB2312" w:hAnsi="仿宋_GB2312" w:eastAsia="仿宋_GB2312" w:cs="仿宋_GB2312"/>
          <w:sz w:val="32"/>
          <w:szCs w:val="32"/>
        </w:rPr>
        <w:t>98</w:t>
      </w:r>
      <w:r>
        <w:rPr>
          <w:rFonts w:hint="eastAsia" w:ascii="仿宋_GB2312" w:hAnsi="仿宋_GB2312" w:eastAsia="仿宋_GB2312" w:cs="仿宋_GB2312"/>
          <w:sz w:val="32"/>
          <w:szCs w:val="32"/>
        </w:rPr>
        <w:t>分。全</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预算数为</w:t>
      </w:r>
      <w:r>
        <w:rPr>
          <w:rFonts w:ascii="仿宋_GB2312" w:hAnsi="仿宋_GB2312" w:eastAsia="仿宋_GB2312" w:cs="仿宋_GB2312"/>
          <w:sz w:val="32"/>
          <w:szCs w:val="32"/>
        </w:rPr>
        <w:t>19.556</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19.556</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（一）预算执行情况（10分）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我镇正常离任村“两委”正职生活补贴项目预算19.556万元，全部为县级财政拨付资金；截止2020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12月31日，实际支出金额19.556万元，预算执行率为100%。该项得分10分。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（二）项目产出（40分）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1、数量指标（</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rPr>
        <w:tab/>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正常离任村“两委”正职生活补贴项目补贴人数70人，覆盖25个行政村，均达到预期指标值。该项得</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2、指标质量（</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rPr>
        <w:tab/>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正常离任村“两委”正职生活补贴2020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均已支付完成，支付工作完成率100%；2020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正常离任村“两委”正职生活补贴符合省委组织部、省财政厅《关于提高村级组织运转保障水平的意见》（冀组发〔2018〕14号）规定，补助合规率100%。该项得分</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3、产出时效（</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正常离任村“两委”正职生活补贴均已及时发放，发放及时率100%。该项得分</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4、成本指标（1</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正常离任村“两委”正职生活补贴严格按照发放标准2</w:t>
      </w:r>
      <w:r>
        <w:rPr>
          <w:rFonts w:ascii="仿宋_GB2312" w:hAnsi="仿宋_GB2312" w:eastAsia="仿宋_GB2312" w:cs="仿宋_GB2312"/>
          <w:sz w:val="32"/>
          <w:szCs w:val="32"/>
        </w:rPr>
        <w:t>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执行，该项得分1</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（三）效果指标（</w:t>
      </w:r>
      <w:r>
        <w:rPr>
          <w:rFonts w:ascii="仿宋_GB2312" w:hAnsi="仿宋_GB2312" w:eastAsia="仿宋_GB2312" w:cs="仿宋_GB2312"/>
          <w:sz w:val="32"/>
          <w:szCs w:val="32"/>
        </w:rPr>
        <w:t>38</w:t>
      </w:r>
      <w:r>
        <w:rPr>
          <w:rFonts w:hint="eastAsia" w:ascii="仿宋_GB2312" w:hAnsi="仿宋_GB2312" w:eastAsia="仿宋_GB2312" w:cs="仿宋_GB2312"/>
          <w:sz w:val="32"/>
          <w:szCs w:val="32"/>
        </w:rPr>
        <w:t>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正常离任村“两委”正职生活补贴按照“每任职满一</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每月补贴20元”的标准测算，项目补贴人群生活改善情况不明显。该项扣2分，得分38分。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（四）满意度（10分）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通过问卷调查，显示补贴对象满意度为95%，达到预期指标值。该项得分10分。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四、项目综合评价结论和评价等级</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根据《项目支出绩效评价管理办法》（财政部预〔2020〕10号）发文要求，为全面实施预算绩效管理，建立科学、合理的项目支出绩效评价管理体系，提高财政资源配置效率和使用效益，依照《中华人民共和国预算法》和《中共中央国务院关于全面实施预算绩效管理的意见》等有关规定，对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正常离任村“两委”正职生活补贴项目进行绩效评价工作。通过查阅资料、实地调研等方式，客观、公正地开展评价工作，对项目的投入、过程控制、产出、效果方面进行了充分论证。</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该项目最终绩效评价得分98分，我们认为该项目总体绩效评价等级为“优秀”。</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五、存在的问题及改进措施</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（一）项目存在的主要问题</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在物价水平不断升高的背景下，对比行政事业单位退休人员待遇，正常离任村“两委”正职生活补贴仍然偏低，对没有生活来源的离任村干部，仅凭补贴很难维持正常生活。</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（二）改进措施</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除县级财政资金外，乡镇财政要安排更多的资金向正常离任村“两委”正职生活补贴倾斜，提高补贴标准，真正实现村“两委”干部干有所酬，退有所养。</w:t>
      </w: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rPr>
          <w:rFonts w:hint="eastAsia" w:ascii="仿宋_GB2312" w:hAnsi="仿宋_GB2312" w:eastAsia="仿宋_GB2312" w:cs="仿宋_GB2312"/>
          <w:sz w:val="32"/>
          <w:szCs w:val="32"/>
        </w:rPr>
      </w:pPr>
    </w:p>
    <w:p>
      <w:pPr>
        <w:adjustRightInd w:val="0"/>
        <w:snapToGrid w:val="0"/>
        <w:spacing w:line="600" w:lineRule="exact"/>
        <w:rPr>
          <w:rFonts w:hint="eastAsia" w:ascii="仿宋_GB2312" w:hAnsi="仿宋_GB2312" w:eastAsia="仿宋_GB2312" w:cs="仿宋_GB2312"/>
          <w:sz w:val="32"/>
          <w:szCs w:val="32"/>
        </w:rPr>
      </w:pPr>
    </w:p>
    <w:tbl>
      <w:tblPr>
        <w:tblStyle w:val="6"/>
        <w:tblW w:w="8826"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76"/>
        <w:gridCol w:w="1076"/>
        <w:gridCol w:w="1075"/>
        <w:gridCol w:w="1010"/>
        <w:gridCol w:w="1075"/>
        <w:gridCol w:w="1072"/>
        <w:gridCol w:w="1075"/>
        <w:gridCol w:w="1145"/>
        <w:gridCol w:w="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510" w:hRule="atLeast"/>
        </w:trPr>
        <w:tc>
          <w:tcPr>
            <w:tcW w:w="8604" w:type="dxa"/>
            <w:gridSpan w:val="8"/>
            <w:tcBorders>
              <w:top w:val="nil"/>
              <w:left w:val="nil"/>
              <w:bottom w:val="nil"/>
              <w:right w:val="nil"/>
            </w:tcBorders>
            <w:vAlign w:val="center"/>
          </w:tcPr>
          <w:p>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270" w:hRule="atLeast"/>
        </w:trPr>
        <w:tc>
          <w:tcPr>
            <w:tcW w:w="8604" w:type="dxa"/>
            <w:gridSpan w:val="8"/>
            <w:tcBorders>
              <w:top w:val="nil"/>
              <w:left w:val="nil"/>
              <w:bottom w:val="nil"/>
              <w:right w:val="nil"/>
            </w:tcBorders>
            <w:vAlign w:val="bottom"/>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2020 </w:t>
            </w:r>
            <w:r>
              <w:rPr>
                <w:rFonts w:hint="eastAsia" w:ascii="宋体" w:hAnsi="宋体" w:eastAsia="宋体" w:cs="宋体"/>
                <w:color w:val="000000"/>
                <w:kern w:val="0"/>
                <w:sz w:val="20"/>
                <w:szCs w:val="20"/>
                <w:lang w:eastAsia="zh-CN"/>
              </w:rPr>
              <w:t>年度</w:t>
            </w:r>
            <w:r>
              <w:rPr>
                <w:rFonts w:hint="eastAsia" w:ascii="宋体" w:hAnsi="宋体" w:eastAsia="宋体" w:cs="宋体"/>
                <w:color w:val="000000"/>
                <w:kern w:val="0"/>
                <w:sz w:val="20"/>
                <w:szCs w:val="2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270" w:hRule="atLeast"/>
        </w:trPr>
        <w:tc>
          <w:tcPr>
            <w:tcW w:w="3227" w:type="dxa"/>
            <w:gridSpan w:val="3"/>
            <w:tcBorders>
              <w:top w:val="nil"/>
              <w:left w:val="nil"/>
              <w:bottom w:val="nil"/>
              <w:right w:val="nil"/>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填报单位：高邑县大营镇人民政府</w:t>
            </w:r>
          </w:p>
        </w:tc>
        <w:tc>
          <w:tcPr>
            <w:tcW w:w="1010" w:type="dxa"/>
            <w:tcBorders>
              <w:top w:val="nil"/>
              <w:left w:val="nil"/>
              <w:bottom w:val="nil"/>
              <w:right w:val="nil"/>
            </w:tcBorders>
            <w:vAlign w:val="center"/>
          </w:tcPr>
          <w:p>
            <w:pPr>
              <w:widowControl/>
              <w:jc w:val="left"/>
              <w:rPr>
                <w:rFonts w:ascii="宋体" w:hAnsi="宋体" w:eastAsia="宋体" w:cs="宋体"/>
                <w:color w:val="000000"/>
                <w:kern w:val="0"/>
                <w:sz w:val="16"/>
                <w:szCs w:val="16"/>
              </w:rPr>
            </w:pPr>
          </w:p>
        </w:tc>
        <w:tc>
          <w:tcPr>
            <w:tcW w:w="1075"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72"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75"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145" w:type="dxa"/>
            <w:tcBorders>
              <w:top w:val="nil"/>
              <w:left w:val="nil"/>
              <w:bottom w:val="nil"/>
              <w:right w:val="nil"/>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435" w:hRule="atLeast"/>
        </w:trPr>
        <w:tc>
          <w:tcPr>
            <w:tcW w:w="1076" w:type="dxa"/>
            <w:tcBorders>
              <w:top w:val="single" w:color="000000" w:sz="4" w:space="0"/>
              <w:left w:val="single" w:color="000000" w:sz="4" w:space="0"/>
              <w:bottom w:val="nil"/>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rPr>
              <w:t>基本情况</w:t>
            </w:r>
          </w:p>
        </w:tc>
        <w:tc>
          <w:tcPr>
            <w:tcW w:w="1076" w:type="dxa"/>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正常离任村“两委”正职生活补贴</w:t>
            </w:r>
          </w:p>
        </w:tc>
        <w:tc>
          <w:tcPr>
            <w:tcW w:w="1075" w:type="dxa"/>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292" w:type="dxa"/>
            <w:gridSpan w:val="3"/>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高邑县大营镇人民政府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480" w:hRule="atLeast"/>
        </w:trPr>
        <w:tc>
          <w:tcPr>
            <w:tcW w:w="107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51" w:type="dxa"/>
            <w:gridSpan w:val="2"/>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47" w:type="dxa"/>
            <w:gridSpan w:val="2"/>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14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270" w:hRule="atLeast"/>
        </w:trPr>
        <w:tc>
          <w:tcPr>
            <w:tcW w:w="107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1076" w:type="dxa"/>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010" w:type="dxa"/>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072" w:type="dxa"/>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145" w:type="dxa"/>
            <w:vMerge w:val="restart"/>
            <w:tcBorders>
              <w:top w:val="nil"/>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420" w:hRule="atLeast"/>
        </w:trPr>
        <w:tc>
          <w:tcPr>
            <w:tcW w:w="107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1076"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010"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072"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75"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19.556</w:t>
            </w:r>
          </w:p>
        </w:tc>
        <w:tc>
          <w:tcPr>
            <w:tcW w:w="114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285" w:hRule="atLeast"/>
        </w:trPr>
        <w:tc>
          <w:tcPr>
            <w:tcW w:w="107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1076"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75" w:type="dxa"/>
            <w:tcBorders>
              <w:top w:val="nil"/>
              <w:left w:val="nil"/>
              <w:bottom w:val="single" w:color="000000" w:sz="4" w:space="0"/>
              <w:right w:val="single" w:color="000000" w:sz="4" w:space="0"/>
            </w:tcBorders>
            <w:vAlign w:val="center"/>
          </w:tcPr>
          <w:p>
            <w:pPr>
              <w:widowControl/>
              <w:jc w:val="left"/>
              <w:rPr>
                <w:rFonts w:ascii="Calibri" w:hAnsi="Calibri" w:eastAsia="宋体" w:cs="Calibri"/>
                <w:color w:val="000000"/>
                <w:kern w:val="0"/>
                <w:szCs w:val="21"/>
              </w:rPr>
            </w:pPr>
            <w:r>
              <w:rPr>
                <w:rFonts w:ascii="Calibri" w:hAnsi="Calibri" w:eastAsia="宋体" w:cs="Calibri"/>
                <w:color w:val="000000"/>
                <w:kern w:val="0"/>
                <w:szCs w:val="21"/>
              </w:rPr>
              <w:t>　</w:t>
            </w:r>
          </w:p>
        </w:tc>
        <w:tc>
          <w:tcPr>
            <w:tcW w:w="1010"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75" w:type="dxa"/>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72" w:type="dxa"/>
            <w:tcBorders>
              <w:top w:val="nil"/>
              <w:left w:val="nil"/>
              <w:bottom w:val="single" w:color="000000" w:sz="4" w:space="0"/>
              <w:right w:val="single" w:color="000000" w:sz="4" w:space="0"/>
            </w:tcBorders>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75" w:type="dxa"/>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4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270" w:hRule="atLeast"/>
        </w:trPr>
        <w:tc>
          <w:tcPr>
            <w:tcW w:w="1076" w:type="dxa"/>
            <w:vMerge w:val="restart"/>
            <w:tcBorders>
              <w:top w:val="nil"/>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161" w:type="dxa"/>
            <w:gridSpan w:val="3"/>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lang w:eastAsia="zh-CN"/>
              </w:rPr>
              <w:t>年度</w:t>
            </w:r>
            <w:r>
              <w:rPr>
                <w:rFonts w:hint="eastAsia" w:ascii="宋体" w:hAnsi="宋体" w:eastAsia="宋体" w:cs="宋体"/>
                <w:color w:val="000000"/>
                <w:kern w:val="0"/>
                <w:sz w:val="16"/>
                <w:szCs w:val="16"/>
              </w:rPr>
              <w:t>预期目标</w:t>
            </w:r>
          </w:p>
        </w:tc>
        <w:tc>
          <w:tcPr>
            <w:tcW w:w="3222" w:type="dxa"/>
            <w:gridSpan w:val="3"/>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14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22" w:type="dxa"/>
          <w:trHeight w:val="312" w:hRule="atLeast"/>
        </w:trPr>
        <w:tc>
          <w:tcPr>
            <w:tcW w:w="10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3161"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根据省委组织部，省厅要求，发放村两委需要发放生活补贴</w:t>
            </w:r>
          </w:p>
        </w:tc>
        <w:tc>
          <w:tcPr>
            <w:tcW w:w="3222"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完成良好</w:t>
            </w:r>
          </w:p>
        </w:tc>
        <w:tc>
          <w:tcPr>
            <w:tcW w:w="1145" w:type="dxa"/>
            <w:vMerge w:val="restart"/>
            <w:tcBorders>
              <w:top w:val="nil"/>
              <w:left w:val="single" w:color="000000" w:sz="4" w:space="0"/>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316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3222"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114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222" w:type="dxa"/>
            <w:tcBorders>
              <w:top w:val="nil"/>
              <w:left w:val="nil"/>
              <w:bottom w:val="nil"/>
              <w:right w:val="nil"/>
            </w:tcBorders>
            <w:vAlign w:val="center"/>
          </w:tcPr>
          <w:p>
            <w:pPr>
              <w:widowControl/>
              <w:jc w:val="center"/>
              <w:rPr>
                <w:rFonts w:ascii="宋体" w:hAnsi="宋体" w:eastAsia="宋体" w:cs="宋体"/>
                <w:color w:val="000000"/>
                <w:kern w:val="0"/>
                <w:sz w:val="16"/>
                <w:szCs w:val="16"/>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316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3222"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114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222" w:type="dxa"/>
            <w:tcBorders>
              <w:top w:val="nil"/>
              <w:left w:val="nil"/>
              <w:bottom w:val="nil"/>
              <w:right w:val="nil"/>
            </w:tcBorders>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76" w:type="dxa"/>
            <w:vMerge w:val="restart"/>
            <w:tcBorders>
              <w:top w:val="nil"/>
              <w:left w:val="single" w:color="auto" w:sz="4" w:space="0"/>
              <w:bottom w:val="single" w:color="000000" w:sz="4" w:space="0"/>
              <w:right w:val="nil"/>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lang w:eastAsia="zh-CN"/>
              </w:rPr>
              <w:t>年度</w:t>
            </w:r>
            <w:r>
              <w:rPr>
                <w:rFonts w:hint="eastAsia" w:ascii="宋体" w:hAnsi="宋体" w:eastAsia="宋体" w:cs="宋体"/>
                <w:color w:val="000000"/>
                <w:kern w:val="0"/>
                <w:sz w:val="16"/>
                <w:szCs w:val="16"/>
              </w:rPr>
              <w:t>绩效指标完成情况</w:t>
            </w:r>
          </w:p>
        </w:tc>
        <w:tc>
          <w:tcPr>
            <w:tcW w:w="1076" w:type="dxa"/>
            <w:tcBorders>
              <w:top w:val="nil"/>
              <w:left w:val="single" w:color="000000" w:sz="4" w:space="0"/>
              <w:bottom w:val="nil"/>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72"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14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产出指标</w:t>
            </w:r>
          </w:p>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（40分）</w:t>
            </w:r>
          </w:p>
        </w:tc>
        <w:tc>
          <w:tcPr>
            <w:tcW w:w="1075" w:type="dxa"/>
            <w:vMerge w:val="restart"/>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补贴人数</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70</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70</w:t>
            </w:r>
          </w:p>
        </w:tc>
        <w:tc>
          <w:tcPr>
            <w:tcW w:w="1145" w:type="dxa"/>
            <w:tcBorders>
              <w:top w:val="nil"/>
              <w:left w:val="nil"/>
              <w:bottom w:val="single" w:color="000000" w:sz="4" w:space="0"/>
              <w:right w:val="single" w:color="auto"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5</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7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行政村覆盖率</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 xml:space="preserve">25 </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 xml:space="preserve">25 </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5</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75" w:type="dxa"/>
            <w:vMerge w:val="restart"/>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支付工作完成率</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5</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7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补贴合规率（%）</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5</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产出时效</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补贴发放及时率（%）</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补贴标准</w:t>
            </w:r>
          </w:p>
        </w:tc>
        <w:tc>
          <w:tcPr>
            <w:tcW w:w="1072" w:type="dxa"/>
            <w:tcBorders>
              <w:top w:val="nil"/>
              <w:left w:val="nil"/>
              <w:bottom w:val="single" w:color="000000" w:sz="4" w:space="0"/>
              <w:right w:val="single" w:color="000000" w:sz="4" w:space="0"/>
            </w:tcBorders>
            <w:vAlign w:val="center"/>
          </w:tcPr>
          <w:p>
            <w:pPr>
              <w:widowControl/>
              <w:jc w:val="center"/>
              <w:rPr>
                <w:rFonts w:hint="eastAsia" w:ascii="Calibri" w:hAnsi="Calibri" w:eastAsia="宋体" w:cs="Calibri"/>
                <w:color w:val="000000"/>
                <w:kern w:val="0"/>
                <w:szCs w:val="21"/>
                <w:lang w:eastAsia="zh-CN"/>
              </w:rPr>
            </w:pPr>
            <w:r>
              <w:rPr>
                <w:rFonts w:ascii="Calibri" w:hAnsi="Calibri" w:eastAsia="宋体" w:cs="Calibri"/>
                <w:color w:val="000000"/>
                <w:kern w:val="0"/>
                <w:szCs w:val="21"/>
              </w:rPr>
              <w:t>200</w:t>
            </w:r>
            <w:r>
              <w:rPr>
                <w:rFonts w:hint="eastAsia" w:ascii="宋体" w:hAnsi="宋体" w:eastAsia="宋体" w:cs="Calibri"/>
                <w:color w:val="000000"/>
                <w:kern w:val="0"/>
                <w:szCs w:val="21"/>
              </w:rPr>
              <w:t>元</w:t>
            </w:r>
            <w:r>
              <w:rPr>
                <w:rFonts w:ascii="Calibri" w:hAnsi="Calibri" w:eastAsia="宋体" w:cs="Calibri"/>
                <w:color w:val="000000"/>
                <w:kern w:val="0"/>
                <w:szCs w:val="21"/>
              </w:rPr>
              <w:t>/</w:t>
            </w:r>
            <w:r>
              <w:rPr>
                <w:rFonts w:hint="eastAsia" w:ascii="宋体" w:hAnsi="宋体" w:eastAsia="宋体" w:cs="Calibri"/>
                <w:color w:val="000000"/>
                <w:kern w:val="0"/>
                <w:szCs w:val="21"/>
                <w:lang w:eastAsia="zh-CN"/>
              </w:rPr>
              <w:t>年度</w:t>
            </w:r>
          </w:p>
        </w:tc>
        <w:tc>
          <w:tcPr>
            <w:tcW w:w="1075" w:type="dxa"/>
            <w:tcBorders>
              <w:top w:val="nil"/>
              <w:left w:val="nil"/>
              <w:bottom w:val="single" w:color="000000" w:sz="4" w:space="0"/>
              <w:right w:val="single" w:color="000000" w:sz="4" w:space="0"/>
            </w:tcBorders>
            <w:vAlign w:val="center"/>
          </w:tcPr>
          <w:p>
            <w:pPr>
              <w:widowControl/>
              <w:jc w:val="center"/>
              <w:rPr>
                <w:rFonts w:hint="eastAsia" w:ascii="Calibri" w:hAnsi="Calibri" w:eastAsia="宋体" w:cs="Calibri"/>
                <w:color w:val="000000"/>
                <w:kern w:val="0"/>
                <w:szCs w:val="21"/>
                <w:lang w:eastAsia="zh-CN"/>
              </w:rPr>
            </w:pPr>
            <w:r>
              <w:rPr>
                <w:rFonts w:ascii="Calibri" w:hAnsi="Calibri" w:eastAsia="宋体" w:cs="Calibri"/>
                <w:color w:val="000000"/>
                <w:kern w:val="0"/>
                <w:szCs w:val="21"/>
              </w:rPr>
              <w:t>200</w:t>
            </w:r>
            <w:r>
              <w:rPr>
                <w:rFonts w:hint="eastAsia" w:ascii="宋体" w:hAnsi="宋体" w:eastAsia="宋体" w:cs="Calibri"/>
                <w:color w:val="000000"/>
                <w:kern w:val="0"/>
                <w:szCs w:val="21"/>
              </w:rPr>
              <w:t>元</w:t>
            </w:r>
            <w:r>
              <w:rPr>
                <w:rFonts w:ascii="Calibri" w:hAnsi="Calibri" w:eastAsia="宋体" w:cs="Calibri"/>
                <w:color w:val="000000"/>
                <w:kern w:val="0"/>
                <w:szCs w:val="21"/>
              </w:rPr>
              <w:t>/</w:t>
            </w:r>
            <w:r>
              <w:rPr>
                <w:rFonts w:hint="eastAsia" w:ascii="宋体" w:hAnsi="宋体" w:eastAsia="宋体" w:cs="Calibri"/>
                <w:color w:val="000000"/>
                <w:kern w:val="0"/>
                <w:szCs w:val="21"/>
                <w:lang w:eastAsia="zh-CN"/>
              </w:rPr>
              <w:t>年度</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预算执行率指标</w:t>
            </w:r>
          </w:p>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100%</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tcBorders>
              <w:top w:val="nil"/>
              <w:left w:val="single" w:color="000000" w:sz="4" w:space="0"/>
              <w:bottom w:val="nil"/>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效果指标（40）</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补贴人群生活改善情况</w:t>
            </w:r>
          </w:p>
        </w:tc>
        <w:tc>
          <w:tcPr>
            <w:tcW w:w="1072"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Cs w:val="21"/>
              </w:rPr>
            </w:pPr>
            <w:r>
              <w:rPr>
                <w:rFonts w:hint="eastAsia" w:ascii="宋体" w:hAnsi="宋体" w:eastAsia="宋体" w:cs="宋体"/>
                <w:color w:val="000000"/>
                <w:kern w:val="0"/>
                <w:szCs w:val="21"/>
              </w:rPr>
              <w:t>优</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Cs w:val="21"/>
              </w:rPr>
            </w:pPr>
            <w:r>
              <w:rPr>
                <w:rFonts w:hint="eastAsia" w:ascii="宋体" w:hAnsi="宋体" w:eastAsia="宋体" w:cs="宋体"/>
                <w:color w:val="000000"/>
                <w:kern w:val="0"/>
                <w:szCs w:val="21"/>
              </w:rPr>
              <w:t>良</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38</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107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满意度指标</w:t>
            </w:r>
          </w:p>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c>
          <w:tcPr>
            <w:tcW w:w="1075" w:type="dxa"/>
            <w:tcBorders>
              <w:top w:val="nil"/>
              <w:left w:val="nil"/>
              <w:bottom w:val="single" w:color="000000" w:sz="4" w:space="0"/>
              <w:right w:val="single" w:color="000000"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085" w:type="dxa"/>
            <w:gridSpan w:val="2"/>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补贴对象满意度（%）</w:t>
            </w:r>
          </w:p>
        </w:tc>
        <w:tc>
          <w:tcPr>
            <w:tcW w:w="1072"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≥95%</w:t>
            </w:r>
          </w:p>
        </w:tc>
        <w:tc>
          <w:tcPr>
            <w:tcW w:w="107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95%</w:t>
            </w:r>
          </w:p>
        </w:tc>
        <w:tc>
          <w:tcPr>
            <w:tcW w:w="1145" w:type="dxa"/>
            <w:tcBorders>
              <w:top w:val="nil"/>
              <w:left w:val="nil"/>
              <w:bottom w:val="single" w:color="000000" w:sz="4" w:space="0"/>
              <w:right w:val="single" w:color="000000"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6"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s="宋体"/>
                <w:color w:val="000000"/>
                <w:kern w:val="0"/>
                <w:sz w:val="16"/>
                <w:szCs w:val="16"/>
              </w:rPr>
            </w:pPr>
          </w:p>
        </w:tc>
        <w:tc>
          <w:tcPr>
            <w:tcW w:w="6383" w:type="dxa"/>
            <w:gridSpan w:val="6"/>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145" w:type="dxa"/>
            <w:tcBorders>
              <w:top w:val="single" w:color="auto" w:sz="4" w:space="0"/>
              <w:left w:val="nil"/>
              <w:bottom w:val="single" w:color="auto" w:sz="4" w:space="0"/>
              <w:right w:val="single" w:color="auto" w:sz="4" w:space="0"/>
            </w:tcBorders>
            <w:vAlign w:val="center"/>
          </w:tcPr>
          <w:p>
            <w:pPr>
              <w:widowControl/>
              <w:jc w:val="center"/>
              <w:rPr>
                <w:rFonts w:ascii="Calibri" w:hAnsi="Calibri" w:eastAsia="宋体" w:cs="Calibri"/>
                <w:color w:val="000000"/>
                <w:kern w:val="0"/>
                <w:szCs w:val="21"/>
              </w:rPr>
            </w:pPr>
            <w:r>
              <w:rPr>
                <w:rFonts w:ascii="Calibri" w:hAnsi="Calibri" w:eastAsia="宋体" w:cs="Calibri"/>
                <w:color w:val="000000"/>
                <w:kern w:val="0"/>
                <w:szCs w:val="21"/>
              </w:rPr>
              <w:t>98</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trPr>
        <w:tc>
          <w:tcPr>
            <w:tcW w:w="1076"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7528" w:type="dxa"/>
            <w:gridSpan w:val="7"/>
            <w:tcBorders>
              <w:top w:val="single" w:color="auto" w:sz="4" w:space="0"/>
              <w:left w:val="nil"/>
              <w:bottom w:val="single" w:color="000000" w:sz="4" w:space="0"/>
              <w:right w:val="single" w:color="000000" w:sz="4" w:space="0"/>
            </w:tcBorders>
            <w:shd w:val="clear" w:color="000000" w:fill="FFFFFF"/>
            <w:vAlign w:val="center"/>
          </w:tcPr>
          <w:p>
            <w:pPr>
              <w:widowControl/>
              <w:jc w:val="left"/>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存在问题：补贴标准偏低，受益人群生活改善情况不明显。</w:t>
            </w:r>
          </w:p>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建议：规范补助方式和金额标准，进一步加大补贴力度，保障离任“两委”干部生活。</w:t>
            </w:r>
          </w:p>
        </w:tc>
        <w:tc>
          <w:tcPr>
            <w:tcW w:w="222" w:type="dxa"/>
            <w:vAlign w:val="center"/>
          </w:tcPr>
          <w:p>
            <w:pPr>
              <w:widowControl/>
              <w:jc w:val="left"/>
              <w:rPr>
                <w:rFonts w:ascii="Times New Roman" w:hAnsi="Times New Roman" w:eastAsia="Times New Roman" w:cs="Times New Roman"/>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76" w:type="dxa"/>
            <w:tcBorders>
              <w:top w:val="nil"/>
              <w:left w:val="nil"/>
              <w:bottom w:val="nil"/>
              <w:right w:val="nil"/>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填报人：李颖</w:t>
            </w:r>
          </w:p>
        </w:tc>
        <w:tc>
          <w:tcPr>
            <w:tcW w:w="1076" w:type="dxa"/>
            <w:tcBorders>
              <w:top w:val="nil"/>
              <w:left w:val="nil"/>
              <w:bottom w:val="nil"/>
              <w:right w:val="nil"/>
            </w:tcBorders>
            <w:vAlign w:val="center"/>
          </w:tcPr>
          <w:p>
            <w:pPr>
              <w:widowControl/>
              <w:jc w:val="left"/>
              <w:rPr>
                <w:rFonts w:ascii="宋体" w:hAnsi="宋体" w:eastAsia="宋体" w:cs="宋体"/>
                <w:color w:val="000000"/>
                <w:kern w:val="0"/>
                <w:sz w:val="16"/>
                <w:szCs w:val="16"/>
              </w:rPr>
            </w:pPr>
          </w:p>
        </w:tc>
        <w:tc>
          <w:tcPr>
            <w:tcW w:w="1075"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10"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75"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72" w:type="dxa"/>
            <w:tcBorders>
              <w:top w:val="nil"/>
              <w:left w:val="nil"/>
              <w:bottom w:val="nil"/>
              <w:right w:val="nil"/>
            </w:tcBorders>
            <w:vAlign w:val="center"/>
          </w:tcPr>
          <w:p>
            <w:pPr>
              <w:widowControl/>
              <w:jc w:val="center"/>
              <w:rPr>
                <w:rFonts w:ascii="Times New Roman" w:hAnsi="Times New Roman" w:eastAsia="Times New Roman" w:cs="Times New Roman"/>
                <w:kern w:val="0"/>
                <w:sz w:val="20"/>
                <w:szCs w:val="20"/>
              </w:rPr>
            </w:pPr>
          </w:p>
        </w:tc>
        <w:tc>
          <w:tcPr>
            <w:tcW w:w="1075" w:type="dxa"/>
            <w:tcBorders>
              <w:top w:val="nil"/>
              <w:left w:val="nil"/>
              <w:bottom w:val="nil"/>
              <w:right w:val="nil"/>
            </w:tcBorders>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145" w:type="dxa"/>
            <w:tcBorders>
              <w:top w:val="nil"/>
              <w:left w:val="nil"/>
              <w:bottom w:val="nil"/>
              <w:right w:val="nil"/>
            </w:tcBorders>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84081388</w:t>
            </w:r>
          </w:p>
        </w:tc>
        <w:tc>
          <w:tcPr>
            <w:tcW w:w="222" w:type="dxa"/>
            <w:vAlign w:val="center"/>
          </w:tcPr>
          <w:p>
            <w:pPr>
              <w:widowControl/>
              <w:jc w:val="left"/>
              <w:rPr>
                <w:rFonts w:ascii="Times New Roman" w:hAnsi="Times New Roman" w:eastAsia="Times New Roman" w:cs="Times New Roman"/>
                <w:kern w:val="0"/>
                <w:sz w:val="20"/>
                <w:szCs w:val="20"/>
              </w:rPr>
            </w:pPr>
          </w:p>
        </w:tc>
      </w:tr>
    </w:tbl>
    <w:p>
      <w:pPr>
        <w:adjustRightInd w:val="0"/>
        <w:snapToGrid w:val="0"/>
        <w:spacing w:line="600" w:lineRule="exact"/>
        <w:rPr>
          <w:rFonts w:ascii="楷体_GB2312" w:hAnsi="楷体_GB2312" w:eastAsia="楷体_GB2312" w:cs="楷体_GB2312"/>
          <w:b/>
          <w:bCs/>
          <w:sz w:val="32"/>
          <w:szCs w:val="32"/>
        </w:rPr>
      </w:pP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tbl>
      <w:tblPr>
        <w:tblStyle w:val="7"/>
        <w:tblW w:w="9638" w:type="dxa"/>
        <w:tblInd w:w="0" w:type="dxa"/>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413"/>
        <w:gridCol w:w="963"/>
        <w:gridCol w:w="3333"/>
        <w:gridCol w:w="799"/>
        <w:gridCol w:w="3561"/>
        <w:gridCol w:w="569"/>
      </w:tblGrid>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blHeader/>
        </w:trPr>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序号</w:t>
            </w:r>
          </w:p>
        </w:tc>
        <w:tc>
          <w:tcPr>
            <w:tcW w:w="96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项目名称</w:t>
            </w:r>
          </w:p>
        </w:tc>
        <w:tc>
          <w:tcPr>
            <w:tcW w:w="333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lang w:eastAsia="zh-CN"/>
              </w:rPr>
              <w:t>年度</w:t>
            </w:r>
            <w:r>
              <w:rPr>
                <w:rFonts w:hint="eastAsia" w:ascii="Times New Roman" w:hAnsi="Times New Roman" w:eastAsia="仿宋" w:cs="Times New Roman"/>
                <w:color w:val="000000"/>
                <w:sz w:val="18"/>
                <w:szCs w:val="18"/>
                <w:shd w:val="clear" w:color="auto" w:fill="FFFFFF"/>
              </w:rPr>
              <w:t>预期目标</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分配资金</w:t>
            </w:r>
            <w:r>
              <w:rPr>
                <w:rFonts w:hint="eastAsia" w:ascii="Times New Roman" w:hAnsi="Times New Roman" w:eastAsia="仿宋" w:cs="Times New Roman"/>
                <w:color w:val="000000"/>
                <w:sz w:val="18"/>
                <w:szCs w:val="18"/>
                <w:shd w:val="clear" w:color="auto" w:fill="FFFFFF"/>
              </w:rPr>
              <w:t>（万元）</w:t>
            </w:r>
          </w:p>
        </w:tc>
        <w:tc>
          <w:tcPr>
            <w:tcW w:w="3561"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具体完成情况</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综合得分</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服务群众及党员活动经费</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保证村级党组织正常运行</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150.38</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大营镇共有25个村，1276名党员，通过经费的使用，保证了村级党组织的正常运行，提高了党员、群众凝聚力</w:t>
            </w:r>
            <w:r>
              <w:rPr>
                <w:rFonts w:ascii="Times New Roman" w:hAnsi="Times New Roman" w:eastAsia="仿宋" w:cs="Times New Roman"/>
                <w:color w:val="000000"/>
                <w:sz w:val="18"/>
                <w:szCs w:val="18"/>
                <w:shd w:val="clear" w:color="auto" w:fill="FFFFFF"/>
              </w:rPr>
              <w:t>。</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96.9</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2</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乡镇工作经费</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提升我镇绿化面积，提高农民生活质量，促进全镇各项发展。</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559.840572</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隐患排查数量达到预期目标，垃圾清运及时，环境整治工作稳步推进。</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97</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3</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人居环境整治工作经费</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改善人居环境，提高人民生活质量</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150</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路面维修工程保质保量完成，提升了镇院环境卫生。</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4</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占地补偿</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提升群众生活环境，提高群众生活质量，补偿款百分百发放到位。</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630.055034</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通过项目实施，提升了群众生活质量。</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91.5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5</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正常离任村“两委”正职生活补贴</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根据省委组织部，省厅要求，发放村两委需要发放生活补贴。</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19.556</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2020发放补贴19.556万元，覆盖人数70名，并及时支付资金。</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6</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蔬菜种植基地基建工程款</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提升农民经济收入，提高生活水平。</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100</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蔬菜种植基地新建项目</w:t>
            </w:r>
            <w:r>
              <w:rPr>
                <w:rFonts w:hint="eastAsia" w:ascii="Times New Roman" w:hAnsi="Times New Roman" w:eastAsia="仿宋" w:cs="Times New Roman"/>
                <w:color w:val="000000"/>
                <w:sz w:val="18"/>
                <w:szCs w:val="18"/>
                <w:shd w:val="clear" w:color="auto" w:fill="FFFFFF"/>
              </w:rPr>
              <w:t>完工，质量达标。</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97</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7</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疫情防控一线人员补助</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为疫情防控一线人员提供生活保障和生活补贴</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77.658</w:t>
            </w:r>
          </w:p>
        </w:tc>
        <w:tc>
          <w:tcPr>
            <w:tcW w:w="3561" w:type="dxa"/>
            <w:vAlign w:val="center"/>
          </w:tcPr>
          <w:p>
            <w:pPr>
              <w:jc w:val="left"/>
              <w:rPr>
                <w:rFonts w:ascii="Times New Roman" w:hAnsi="Times New Roman" w:eastAsia="仿宋" w:cs="黑体"/>
                <w:color w:val="000000"/>
                <w:sz w:val="18"/>
                <w:szCs w:val="18"/>
                <w:shd w:val="clear" w:color="auto" w:fill="FFFFFF"/>
              </w:rPr>
            </w:pPr>
            <w:r>
              <w:rPr>
                <w:rFonts w:ascii="Times New Roman" w:hAnsi="Times New Roman" w:eastAsia="仿宋"/>
                <w:color w:val="000000"/>
                <w:sz w:val="18"/>
                <w:szCs w:val="18"/>
                <w:shd w:val="clear" w:color="auto" w:fill="FFFFFF"/>
              </w:rPr>
              <w:t>20</w:t>
            </w:r>
            <w:r>
              <w:rPr>
                <w:rFonts w:hint="eastAsia" w:ascii="Times New Roman" w:hAnsi="Times New Roman" w:eastAsia="仿宋"/>
                <w:color w:val="000000"/>
                <w:sz w:val="18"/>
                <w:szCs w:val="18"/>
                <w:shd w:val="clear" w:color="auto" w:fill="FFFFFF"/>
              </w:rPr>
              <w:t>20</w:t>
            </w:r>
            <w:r>
              <w:rPr>
                <w:rFonts w:hint="eastAsia" w:ascii="Times New Roman" w:hAnsi="Times New Roman" w:eastAsia="仿宋"/>
                <w:color w:val="000000"/>
                <w:sz w:val="18"/>
                <w:szCs w:val="18"/>
                <w:shd w:val="clear" w:color="auto" w:fill="FFFFFF"/>
                <w:lang w:eastAsia="zh-CN"/>
              </w:rPr>
              <w:t>年度</w:t>
            </w:r>
            <w:r>
              <w:rPr>
                <w:rFonts w:hint="eastAsia" w:ascii="Times New Roman" w:hAnsi="Times New Roman" w:eastAsia="仿宋"/>
                <w:color w:val="000000"/>
                <w:sz w:val="18"/>
                <w:szCs w:val="18"/>
                <w:shd w:val="clear" w:color="auto" w:fill="FFFFFF"/>
              </w:rPr>
              <w:t>发放补贴77.658万元，覆盖疫情防控一线工作人员，并及时支付。</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1256" w:hRule="atLeast"/>
        </w:trPr>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8</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散煤蜂窝煤回收费用</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作为回收散煤资金，推动禁煤工作开展</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62</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推动禁煤工作开展，给予群众相应补贴</w:t>
            </w:r>
            <w:r>
              <w:rPr>
                <w:rFonts w:hint="eastAsia" w:ascii="Times New Roman" w:hAnsi="Times New Roman" w:eastAsia="仿宋" w:cs="Times New Roman"/>
                <w:color w:val="000000"/>
                <w:sz w:val="18"/>
                <w:szCs w:val="18"/>
                <w:shd w:val="clear" w:color="auto" w:fill="FFFFFF"/>
              </w:rPr>
              <w:t>。</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92</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散煤管控站点的费用</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支持乡镇政府开展散煤管控工作，保护环境</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散煤管控工作到位，保护了环境。</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清理县建筑垃圾填埋场垃圾费用</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给予垃圾清理工作资金保障，推进人居环境治理</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30</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olor w:val="000000"/>
                <w:sz w:val="18"/>
                <w:szCs w:val="18"/>
                <w:shd w:val="clear" w:color="auto" w:fill="FFFFFF"/>
              </w:rPr>
              <w:t>垃圾清理到位，改善提升了人居环境</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97.3</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11</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基础设施建设</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加强农村基础设施建设。</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1262</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对全镇25个村进行基础设施建设，总体完成率90%。</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97</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12</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革命老区转移支付资金</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提升群众生活环境，提高群众生活质量。</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122</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通过项目实施，提升了群众生活质量。</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13</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土地卫片违法占地拆除费用</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推动土地卫片拆除工作，完成拆除任务</w:t>
            </w:r>
            <w:r>
              <w:rPr>
                <w:rFonts w:hint="eastAsia" w:ascii="Times New Roman" w:hAnsi="Times New Roman" w:eastAsia="仿宋" w:cs="Times New Roman"/>
                <w:color w:val="000000"/>
                <w:sz w:val="18"/>
                <w:szCs w:val="18"/>
                <w:shd w:val="clear" w:color="auto" w:fill="FFFFFF"/>
              </w:rPr>
              <w:tab/>
            </w:r>
            <w:r>
              <w:rPr>
                <w:rFonts w:hint="eastAsia" w:ascii="Times New Roman" w:hAnsi="Times New Roman" w:eastAsia="仿宋" w:cs="Times New Roman"/>
                <w:color w:val="000000"/>
                <w:sz w:val="18"/>
                <w:szCs w:val="18"/>
                <w:shd w:val="clear" w:color="auto" w:fill="FFFFFF"/>
              </w:rPr>
              <w:tab/>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25</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聘用专业拆迁队伍，动用大型机械、拆除设备、车辆，对辖区内6家违法占地进行依法拆除，提升村容村貌。</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92.9</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14</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疫情防控期间用餐费及雅客e家隔离点费用</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按照疫情防控工作安排，为疫情隔离人员提供食宿，确保隔离人员隔离期间的基本生活保障。</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33.4588</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严格按照疫情期间隔离政策，严防死守、保证先行，坚决打赢新冠病毒防范战。</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15</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新中国成立70周</w:t>
            </w:r>
            <w:r>
              <w:rPr>
                <w:rFonts w:hint="eastAsia" w:ascii="Times New Roman" w:hAnsi="Times New Roman" w:eastAsia="仿宋" w:cs="Times New Roman"/>
                <w:color w:val="000000"/>
                <w:sz w:val="18"/>
                <w:szCs w:val="18"/>
                <w:shd w:val="clear" w:color="auto" w:fill="FFFFFF"/>
                <w:lang w:eastAsia="zh-CN"/>
              </w:rPr>
              <w:t>年度</w:t>
            </w:r>
            <w:r>
              <w:rPr>
                <w:rFonts w:hint="eastAsia" w:ascii="Times New Roman" w:hAnsi="Times New Roman" w:eastAsia="仿宋" w:cs="Times New Roman"/>
                <w:color w:val="000000"/>
                <w:sz w:val="18"/>
                <w:szCs w:val="18"/>
                <w:shd w:val="clear" w:color="auto" w:fill="FFFFFF"/>
              </w:rPr>
              <w:t>奖励资金</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务实担当，化解矛盾，解决农民纠纷。维护全县稳定</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确保了全县社会大局持续稳定，防范化解重大风险。</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16</w:t>
            </w:r>
          </w:p>
        </w:tc>
        <w:tc>
          <w:tcPr>
            <w:tcW w:w="96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“六无”奖励资金</w:t>
            </w:r>
          </w:p>
        </w:tc>
        <w:tc>
          <w:tcPr>
            <w:tcW w:w="3333"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务实担当，化解矛盾，解决农民纠纷。维护全县稳定</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18</w:t>
            </w:r>
          </w:p>
        </w:tc>
        <w:tc>
          <w:tcPr>
            <w:tcW w:w="3561" w:type="dxa"/>
            <w:vAlign w:val="top"/>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减少信访案件和重大涉稳问题</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bl>
    <w:p>
      <w:pPr>
        <w:adjustRightInd w:val="0"/>
        <w:snapToGrid w:val="0"/>
        <w:spacing w:line="600" w:lineRule="exact"/>
        <w:rPr>
          <w:rFonts w:ascii="楷体_GB2312" w:hAnsi="楷体_GB2312" w:eastAsia="楷体_GB2312" w:cs="楷体_GB2312"/>
          <w:b/>
          <w:bCs/>
          <w:sz w:val="32"/>
          <w:szCs w:val="32"/>
        </w:rPr>
      </w:pP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机关运行经费支出670.37万元，比2019</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减少523.5万元，降低43.</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%。主要原因是弘扬艰苦奋斗作风，反对铺张浪费。</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政府采购支出总额122.37万元，从采购类型来看，</w:t>
      </w:r>
      <w:r>
        <w:rPr>
          <w:rFonts w:hint="eastAsia" w:ascii="仿宋_GB2312" w:hAnsi="仿宋_GB2312" w:eastAsia="仿宋_GB2312" w:cs="仿宋_GB2312"/>
          <w:color w:val="000000"/>
          <w:kern w:val="0"/>
          <w:sz w:val="32"/>
          <w:szCs w:val="32"/>
        </w:rPr>
        <w:t>政府采购货物支出0万元、政府采购工程支出122.37万元、政府采购服务支出 0万元。授予中小企业合同金0万元，占政府采购支出总额的0%，其中授予小微企业合同金额0万元，占政府采购支出总额的 0%。</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12月31日，本部门共有车辆3辆，比上</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增加2辆，主要是因综合行政执法队工作需要，配备执法车辆两辆。其中，副部（省）级及以上领导用车0辆，主要领导干部用车0辆，机要通信用车0辆，应急保障用车0辆，执法执勤用车2辆，特种专业技术用车0辆，离退休干部用车0辆，其他用车1辆，其他用车主要是用于</w:t>
      </w:r>
      <w:r>
        <w:rPr>
          <w:rFonts w:hint="eastAsia" w:ascii="仿宋_GB2312" w:hAnsi="Times New Roman" w:eastAsia="仿宋_GB2312" w:cs="DengXian-Regular"/>
          <w:sz w:val="32"/>
          <w:szCs w:val="32"/>
        </w:rPr>
        <w:t>单位紧急工作的处理</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增加（减少）0套，主要是</w:t>
      </w:r>
      <w:r>
        <w:rPr>
          <w:rFonts w:hint="eastAsia" w:ascii="仿宋_GB2312" w:hAnsi="Times New Roman" w:eastAsia="仿宋_GB2312" w:cs="DengXian-Regular"/>
          <w:sz w:val="32"/>
          <w:szCs w:val="32"/>
        </w:rPr>
        <w:t>厉行勤俭节约</w:t>
      </w:r>
      <w:r>
        <w:rPr>
          <w:rFonts w:hint="eastAsia" w:ascii="仿宋_GB2312" w:hAnsi="仿宋_GB2312" w:eastAsia="仿宋_GB2312" w:cs="仿宋_GB2312"/>
          <w:sz w:val="32"/>
          <w:szCs w:val="32"/>
        </w:rPr>
        <w:t>，单位价值100万元以上专用设备0台（套）比上</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增加（减少）0套，主要是弘扬艰苦奋斗作风，反对浪费。</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1. </w:t>
      </w:r>
      <w:r>
        <w:rPr>
          <w:rFonts w:hint="eastAsia" w:ascii="仿宋_GB2312" w:hAnsi="Times New Roman" w:eastAsia="仿宋_GB2312" w:cs="DengXian-Regular"/>
          <w:sz w:val="32"/>
          <w:szCs w:val="32"/>
        </w:rPr>
        <w:t>本部门2020</w:t>
      </w:r>
      <w:r>
        <w:rPr>
          <w:rFonts w:hint="eastAsia" w:ascii="仿宋_GB2312" w:hAnsi="Times New Roman" w:eastAsia="仿宋_GB2312" w:cs="DengXian-Regular"/>
          <w:sz w:val="32"/>
          <w:szCs w:val="32"/>
          <w:lang w:eastAsia="zh-CN"/>
        </w:rPr>
        <w:t>年度</w:t>
      </w:r>
      <w:r>
        <w:rPr>
          <w:rFonts w:hint="eastAsia" w:ascii="仿宋_GB2312" w:eastAsia="仿宋_GB2312" w:cs="DengXian-Regular"/>
          <w:sz w:val="32"/>
          <w:szCs w:val="32"/>
        </w:rPr>
        <w:t>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rPr>
        <w:t>国有资本经营预算财政拨款支出决算</w:t>
      </w:r>
      <w:r>
        <w:rPr>
          <w:rFonts w:hint="eastAsia" w:ascii="仿宋_GB2312" w:hAnsi="Times New Roman" w:eastAsia="仿宋_GB2312" w:cs="DengXian-Regular"/>
          <w:sz w:val="32"/>
          <w:szCs w:val="32"/>
        </w:rPr>
        <w:t>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ascii="Calibri" w:hAnsi="Calibri" w:eastAsia="宋体" w:cs="黑体"/>
          <w:kern w:val="2"/>
          <w:sz w:val="72"/>
          <w:szCs w:val="24"/>
          <w:lang w:val="en-US" w:eastAsia="zh-CN" w:bidi="ar-SA"/>
        </w:rPr>
        <w:pict>
          <v:rect id="文本框 188" o:spid="_x0000_s1038" o:spt="1" style="position:absolute;left:0pt;margin-left:-81.9pt;margin-top:2.05pt;height:263.1pt;width:613.65pt;z-index:251662336;mso-width-relative:page;mso-height-relative:page;" fillcolor="#7F7F7F" filled="t" o:preferrelative="t" stroked="t" coordsize="21600,21600">
            <v:path/>
            <v:fill type="pattern" on="t" color2="#FFFFFF" o:opacity2="65536f" focussize="0,0" r:id="rId11"/>
            <v:stroke weight="0.5pt" color="#7F7F7F" color2="#FFFFFF" miterlimit="2"/>
            <v:imagedata gain="65536f" blacklevel="0f" gamma="0" o:title=""/>
            <o:lock v:ext="edit" position="f" selection="f" grouping="f" rotation="f" cropping="f" text="f" aspectratio="f"/>
            <v:textbox>
              <w:txbxContent>
                <w:p>
                  <w:pPr>
                    <w:widowControl/>
                    <w:jc w:val="center"/>
                  </w:pPr>
                  <w:r>
                    <w:rPr>
                      <w:rFonts w:hint="eastAsia" w:ascii="黑体" w:hAnsi="黑体" w:eastAsia="黑体" w:cs="黑体"/>
                      <w:color w:val="000000"/>
                      <w:sz w:val="90"/>
                      <w:szCs w:val="90"/>
                    </w:rPr>
                    <w:t>第三部分 相关名词解释</w:t>
                  </w:r>
                </w:p>
              </w:txbxContent>
            </v:textbox>
          </v:rect>
        </w:pic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w:t>
      </w:r>
      <w:r>
        <w:rPr>
          <w:rFonts w:hint="eastAsia" w:ascii="仿宋_GB2312" w:hAnsi="宋体" w:eastAsia="仿宋_GB2312" w:cs="Times New Roman"/>
          <w:color w:val="000000"/>
          <w:kern w:val="0"/>
          <w:sz w:val="32"/>
          <w:szCs w:val="32"/>
          <w:lang w:eastAsia="zh-CN"/>
        </w:rPr>
        <w:t>年度</w:t>
      </w:r>
      <w:r>
        <w:rPr>
          <w:rFonts w:hint="eastAsia" w:ascii="仿宋_GB2312" w:hAnsi="宋体" w:eastAsia="仿宋_GB2312" w:cs="Times New Roman"/>
          <w:color w:val="000000"/>
          <w:kern w:val="0"/>
          <w:sz w:val="32"/>
          <w:szCs w:val="32"/>
        </w:rPr>
        <w:t>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w:t>
      </w:r>
      <w:r>
        <w:rPr>
          <w:rFonts w:hint="eastAsia" w:ascii="仿宋_GB2312" w:hAnsi="宋体" w:eastAsia="仿宋_GB2312" w:cs="Times New Roman"/>
          <w:b/>
          <w:bCs/>
          <w:color w:val="000000"/>
          <w:kern w:val="0"/>
          <w:sz w:val="32"/>
          <w:szCs w:val="32"/>
          <w:lang w:eastAsia="zh-CN"/>
        </w:rPr>
        <w:t>年度</w:t>
      </w:r>
      <w:r>
        <w:rPr>
          <w:rFonts w:hint="eastAsia" w:ascii="仿宋_GB2312" w:hAnsi="宋体" w:eastAsia="仿宋_GB2312" w:cs="Times New Roman"/>
          <w:b/>
          <w:bCs/>
          <w:color w:val="000000"/>
          <w:kern w:val="0"/>
          <w:sz w:val="32"/>
          <w:szCs w:val="32"/>
        </w:rPr>
        <w:t>初结转和结余：</w:t>
      </w:r>
      <w:r>
        <w:rPr>
          <w:rFonts w:hint="eastAsia" w:ascii="仿宋_GB2312" w:hAnsi="宋体" w:eastAsia="仿宋_GB2312" w:cs="Times New Roman"/>
          <w:color w:val="000000"/>
          <w:kern w:val="0"/>
          <w:sz w:val="32"/>
          <w:szCs w:val="32"/>
        </w:rPr>
        <w:t>指以前</w:t>
      </w:r>
      <w:r>
        <w:rPr>
          <w:rFonts w:hint="eastAsia" w:ascii="仿宋_GB2312" w:hAnsi="宋体" w:eastAsia="仿宋_GB2312" w:cs="Times New Roman"/>
          <w:color w:val="000000"/>
          <w:kern w:val="0"/>
          <w:sz w:val="32"/>
          <w:szCs w:val="32"/>
          <w:lang w:eastAsia="zh-CN"/>
        </w:rPr>
        <w:t>年度</w:t>
      </w:r>
      <w:r>
        <w:rPr>
          <w:rFonts w:hint="eastAsia" w:ascii="仿宋_GB2312" w:hAnsi="宋体" w:eastAsia="仿宋_GB2312" w:cs="Times New Roman"/>
          <w:color w:val="000000"/>
          <w:kern w:val="0"/>
          <w:sz w:val="32"/>
          <w:szCs w:val="32"/>
        </w:rPr>
        <w:t>尚未完成、结转到本</w:t>
      </w:r>
      <w:r>
        <w:rPr>
          <w:rFonts w:hint="eastAsia" w:ascii="仿宋_GB2312" w:hAnsi="宋体" w:eastAsia="仿宋_GB2312" w:cs="Times New Roman"/>
          <w:color w:val="000000"/>
          <w:kern w:val="0"/>
          <w:sz w:val="32"/>
          <w:szCs w:val="32"/>
          <w:lang w:eastAsia="zh-CN"/>
        </w:rPr>
        <w:t>年度</w:t>
      </w:r>
      <w:r>
        <w:rPr>
          <w:rFonts w:hint="eastAsia" w:ascii="仿宋_GB2312" w:hAnsi="宋体" w:eastAsia="仿宋_GB2312" w:cs="Times New Roman"/>
          <w:color w:val="000000"/>
          <w:kern w:val="0"/>
          <w:sz w:val="32"/>
          <w:szCs w:val="32"/>
        </w:rPr>
        <w:t>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w:t>
      </w:r>
      <w:r>
        <w:rPr>
          <w:rFonts w:hint="eastAsia" w:ascii="仿宋_GB2312" w:hAnsi="宋体" w:eastAsia="仿宋_GB2312" w:cs="Times New Roman"/>
          <w:b/>
          <w:bCs/>
          <w:color w:val="000000"/>
          <w:kern w:val="0"/>
          <w:sz w:val="32"/>
          <w:szCs w:val="32"/>
          <w:lang w:eastAsia="zh-CN"/>
        </w:rPr>
        <w:t>年度</w:t>
      </w:r>
      <w:r>
        <w:rPr>
          <w:rFonts w:hint="eastAsia" w:ascii="仿宋_GB2312" w:hAnsi="宋体" w:eastAsia="仿宋_GB2312" w:cs="Times New Roman"/>
          <w:b/>
          <w:bCs/>
          <w:color w:val="000000"/>
          <w:kern w:val="0"/>
          <w:sz w:val="32"/>
          <w:szCs w:val="32"/>
        </w:rPr>
        <w:t>末结转和结余：</w:t>
      </w:r>
      <w:r>
        <w:rPr>
          <w:rFonts w:hint="eastAsia" w:ascii="仿宋_GB2312" w:hAnsi="宋体" w:eastAsia="仿宋_GB2312" w:cs="Times New Roman"/>
          <w:color w:val="000000"/>
          <w:kern w:val="0"/>
          <w:sz w:val="32"/>
          <w:szCs w:val="32"/>
        </w:rPr>
        <w:t>指单位按有关规定结转到下</w:t>
      </w:r>
      <w:r>
        <w:rPr>
          <w:rFonts w:hint="eastAsia" w:ascii="仿宋_GB2312" w:hAnsi="宋体" w:eastAsia="仿宋_GB2312" w:cs="Times New Roman"/>
          <w:color w:val="000000"/>
          <w:kern w:val="0"/>
          <w:sz w:val="32"/>
          <w:szCs w:val="32"/>
          <w:lang w:eastAsia="zh-CN"/>
        </w:rPr>
        <w:t>年度</w:t>
      </w:r>
      <w:r>
        <w:rPr>
          <w:rFonts w:hint="eastAsia" w:ascii="仿宋_GB2312" w:hAnsi="宋体" w:eastAsia="仿宋_GB2312" w:cs="Times New Roman"/>
          <w:color w:val="000000"/>
          <w:kern w:val="0"/>
          <w:sz w:val="32"/>
          <w:szCs w:val="32"/>
        </w:rPr>
        <w:t>或以后</w:t>
      </w:r>
      <w:r>
        <w:rPr>
          <w:rFonts w:hint="eastAsia" w:ascii="仿宋_GB2312" w:hAnsi="宋体" w:eastAsia="仿宋_GB2312" w:cs="Times New Roman"/>
          <w:color w:val="000000"/>
          <w:kern w:val="0"/>
          <w:sz w:val="32"/>
          <w:szCs w:val="32"/>
          <w:lang w:eastAsia="zh-CN"/>
        </w:rPr>
        <w:t>年度</w:t>
      </w:r>
      <w:r>
        <w:rPr>
          <w:rFonts w:hint="eastAsia" w:ascii="仿宋_GB2312" w:hAnsi="宋体" w:eastAsia="仿宋_GB2312" w:cs="Times New Roman"/>
          <w:color w:val="000000"/>
          <w:kern w:val="0"/>
          <w:sz w:val="32"/>
          <w:szCs w:val="32"/>
        </w:rPr>
        <w:t>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720" w:num="1"/>
          <w:titlePg/>
          <w:docGrid w:type="lines" w:linePitch="312" w:charSpace="0"/>
        </w:sectPr>
      </w:pPr>
    </w:p>
    <w:p>
      <w:pPr>
        <w:rPr>
          <w:rFonts w:ascii="黑体" w:hAnsi="黑体" w:eastAsia="黑体" w:cs="黑体"/>
          <w:sz w:val="56"/>
          <w:szCs w:val="72"/>
        </w:r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720" w:num="1"/>
          <w:titlePg/>
          <w:docGrid w:type="lines" w:linePitch="312" w:charSpace="0"/>
        </w:sectPr>
      </w:pPr>
      <w:r>
        <w:rPr>
          <w:rFonts w:ascii="Calibri" w:hAnsi="Calibri" w:eastAsia="宋体" w:cs="黑体"/>
          <w:kern w:val="2"/>
          <w:sz w:val="72"/>
          <w:szCs w:val="24"/>
          <w:lang w:val="en-US" w:eastAsia="zh-CN" w:bidi="ar-SA"/>
        </w:rPr>
        <w:pict>
          <v:rect id="文本框 1" o:spid="_x0000_s1039" o:spt="1" style="position:absolute;left:0pt;margin-left:-80.9pt;margin-top:90.65pt;height:263.1pt;width:613.65pt;z-index:251665408;mso-width-relative:page;mso-height-relative:page;" fillcolor="#7F7F7F" filled="t" o:preferrelative="t" stroked="t" coordsize="21600,21600">
            <v:path/>
            <v:fill type="pattern" on="t" color2="#FFFFFF" o:opacity2="65536f" focussize="0,0" r:id="rId11"/>
            <v:stroke weight="1pt" color="#A5A5A5"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2020</w:t>
                  </w:r>
                  <w:r>
                    <w:rPr>
                      <w:rFonts w:hint="eastAsia" w:ascii="黑体" w:hAnsi="黑体" w:eastAsia="黑体" w:cs="黑体"/>
                      <w:color w:val="000000"/>
                      <w:sz w:val="90"/>
                      <w:szCs w:val="90"/>
                      <w:lang w:eastAsia="zh-CN"/>
                    </w:rPr>
                    <w:t>年度</w:t>
                  </w:r>
                  <w:r>
                    <w:rPr>
                      <w:rFonts w:hint="eastAsia" w:ascii="黑体" w:hAnsi="黑体" w:eastAsia="黑体" w:cs="黑体"/>
                      <w:color w:val="000000"/>
                      <w:sz w:val="90"/>
                      <w:szCs w:val="90"/>
                    </w:rPr>
                    <w:t>部门决算报表</w:t>
                  </w:r>
                </w:p>
                <w:p/>
              </w:txbxContent>
            </v:textbox>
          </v:rect>
        </w:pict>
      </w:r>
    </w:p>
    <w:p>
      <w:pPr>
        <w:autoSpaceDE w:val="0"/>
        <w:autoSpaceDN w:val="0"/>
        <w:adjustRightInd w:val="0"/>
        <w:spacing w:line="360" w:lineRule="auto"/>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本部门应公开9张决算表格，即：</w:t>
      </w: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收入支出决算总表（公开01表）</w:t>
      </w:r>
    </w:p>
    <w:p>
      <w:pPr>
        <w:numPr>
          <w:ilvl w:val="0"/>
          <w:numId w:val="0"/>
        </w:numPr>
        <w:autoSpaceDE w:val="0"/>
        <w:autoSpaceDN w:val="0"/>
        <w:adjustRightInd w:val="0"/>
        <w:spacing w:line="240" w:lineRule="auto"/>
        <w:ind w:left="0" w:leftChars="0"/>
        <w:jc w:val="left"/>
        <w:rPr>
          <w:rFonts w:ascii="仿宋_GB2312" w:eastAsia="仿宋_GB2312" w:cs="ArialUnicodeMS"/>
          <w:kern w:val="0"/>
          <w:sz w:val="32"/>
          <w:szCs w:val="32"/>
        </w:rPr>
      </w:pPr>
      <w:r>
        <w:rPr>
          <w:rFonts w:ascii="Calibri" w:hAnsi="Calibri" w:eastAsia="宋体" w:cs="黑体"/>
          <w:kern w:val="2"/>
          <w:sz w:val="21"/>
          <w:szCs w:val="24"/>
          <w:lang w:val="en-US" w:eastAsia="zh-CN" w:bidi="ar-SA"/>
        </w:rPr>
        <w:pict>
          <v:shape id="_x0000_i1025" o:spt="75" type="#_x0000_t75" style="height:552.45pt;width:441.8pt;" filled="f" o:preferrelative="t" stroked="f" coordsize="21600,21600">
            <v:path/>
            <v:fill on="f" focussize="0,0"/>
            <v:stroke on="f"/>
            <v:imagedata r:id="rId16" blacklevel="0f" o:title=""/>
            <o:lock v:ext="edit" aspectratio="t"/>
            <w10:wrap type="none"/>
            <w10:anchorlock/>
          </v:shape>
        </w:pict>
      </w: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收入决算表（公开02表）</w:t>
      </w:r>
    </w:p>
    <w:p>
      <w:pPr>
        <w:widowControl w:val="0"/>
        <w:numPr>
          <w:ilvl w:val="0"/>
          <w:numId w:val="0"/>
        </w:numPr>
        <w:autoSpaceDE w:val="0"/>
        <w:autoSpaceDN w:val="0"/>
        <w:adjustRightInd w:val="0"/>
        <w:spacing w:line="240" w:lineRule="auto"/>
        <w:jc w:val="left"/>
        <w:rPr>
          <w:rFonts w:hint="eastAsia" w:ascii="仿宋_GB2312" w:eastAsia="仿宋_GB2312" w:cs="ArialUnicodeMS"/>
          <w:kern w:val="0"/>
          <w:sz w:val="32"/>
          <w:szCs w:val="32"/>
        </w:rPr>
      </w:pPr>
      <w:r>
        <w:rPr>
          <w:rFonts w:ascii="Calibri" w:hAnsi="Calibri" w:eastAsia="宋体" w:cs="黑体"/>
          <w:kern w:val="2"/>
          <w:sz w:val="21"/>
          <w:szCs w:val="24"/>
          <w:lang w:val="en-US" w:eastAsia="zh-CN" w:bidi="ar-SA"/>
        </w:rPr>
        <w:pict>
          <v:shape id="_x0000_i1026" o:spt="75" type="#_x0000_t75" style="height:572.1pt;width:481.2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pPr>
        <w:widowControl w:val="0"/>
        <w:numPr>
          <w:ilvl w:val="0"/>
          <w:numId w:val="0"/>
        </w:numPr>
        <w:autoSpaceDE w:val="0"/>
        <w:autoSpaceDN w:val="0"/>
        <w:adjustRightInd w:val="0"/>
        <w:spacing w:line="360" w:lineRule="auto"/>
        <w:jc w:val="left"/>
        <w:rPr>
          <w:rFonts w:hint="eastAsia" w:ascii="仿宋_GB2312" w:eastAsia="仿宋_GB2312" w:cs="ArialUnicodeMS"/>
          <w:kern w:val="0"/>
          <w:sz w:val="32"/>
          <w:szCs w:val="32"/>
        </w:rPr>
      </w:pP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支出决算表（公开03表）</w:t>
      </w:r>
    </w:p>
    <w:p>
      <w:pPr>
        <w:numPr>
          <w:ilvl w:val="0"/>
          <w:numId w:val="0"/>
        </w:numPr>
        <w:autoSpaceDE w:val="0"/>
        <w:autoSpaceDN w:val="0"/>
        <w:adjustRightInd w:val="0"/>
        <w:spacing w:line="240" w:lineRule="auto"/>
        <w:ind w:left="0" w:leftChars="0"/>
        <w:jc w:val="left"/>
      </w:pPr>
      <w:r>
        <w:rPr>
          <w:rFonts w:ascii="Calibri" w:hAnsi="Calibri" w:eastAsia="宋体" w:cs="黑体"/>
          <w:kern w:val="2"/>
          <w:sz w:val="21"/>
          <w:szCs w:val="24"/>
          <w:lang w:val="en-US" w:eastAsia="zh-CN" w:bidi="ar-SA"/>
        </w:rPr>
        <w:pict>
          <v:shape id="_x0000_i1027" o:spt="75" type="#_x0000_t75" style="height:577.95pt;width:471.65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财政拨款收入支出决算总表（公开04表）</w:t>
      </w:r>
    </w:p>
    <w:p>
      <w:pPr>
        <w:numPr>
          <w:ilvl w:val="0"/>
          <w:numId w:val="0"/>
        </w:numPr>
        <w:autoSpaceDE w:val="0"/>
        <w:autoSpaceDN w:val="0"/>
        <w:adjustRightInd w:val="0"/>
        <w:spacing w:line="240" w:lineRule="auto"/>
        <w:ind w:left="0" w:leftChars="0"/>
        <w:jc w:val="center"/>
      </w:pPr>
      <w:r>
        <w:rPr>
          <w:rFonts w:ascii="Calibri" w:hAnsi="Calibri" w:eastAsia="宋体" w:cs="黑体"/>
          <w:kern w:val="2"/>
          <w:sz w:val="21"/>
          <w:szCs w:val="24"/>
          <w:lang w:val="en-US" w:eastAsia="zh-CN" w:bidi="ar-SA"/>
        </w:rPr>
        <w:pict>
          <v:shape id="_x0000_i1028" o:spt="75" type="#_x0000_t75" style="height:595.35pt;width:485.85pt;" filled="f" o:preferrelative="t" stroked="f" coordsize="21600,21600">
            <v:path/>
            <v:fill on="f" focussize="0,0"/>
            <v:stroke on="f"/>
            <v:imagedata r:id="rId19" blacklevel="0f" o:title=""/>
            <o:lock v:ext="edit" aspectratio="t"/>
            <w10:wrap type="none"/>
            <w10:anchorlock/>
          </v:shape>
        </w:pict>
      </w: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一般公共预算财政拨款支出决算表（公开05表）</w:t>
      </w:r>
    </w:p>
    <w:p>
      <w:pPr>
        <w:numPr>
          <w:ilvl w:val="0"/>
          <w:numId w:val="0"/>
        </w:numPr>
        <w:autoSpaceDE w:val="0"/>
        <w:autoSpaceDN w:val="0"/>
        <w:adjustRightInd w:val="0"/>
        <w:spacing w:line="240" w:lineRule="auto"/>
        <w:ind w:left="0" w:leftChars="0"/>
        <w:jc w:val="left"/>
      </w:pPr>
      <w:r>
        <w:rPr>
          <w:rFonts w:ascii="Calibri" w:hAnsi="Calibri" w:eastAsia="宋体" w:cs="黑体"/>
          <w:kern w:val="2"/>
          <w:sz w:val="21"/>
          <w:szCs w:val="24"/>
          <w:lang w:val="en-US" w:eastAsia="zh-CN" w:bidi="ar-SA"/>
        </w:rPr>
        <w:pict>
          <v:shape id="_x0000_i1029" o:spt="75" type="#_x0000_t75" style="height:597pt;width:441.75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一般公共预算财政拨款基本支出决算表（公开06表）</w:t>
      </w:r>
    </w:p>
    <w:p>
      <w:pPr>
        <w:numPr>
          <w:ilvl w:val="0"/>
          <w:numId w:val="0"/>
        </w:numPr>
        <w:autoSpaceDE w:val="0"/>
        <w:autoSpaceDN w:val="0"/>
        <w:adjustRightInd w:val="0"/>
        <w:spacing w:line="240" w:lineRule="auto"/>
        <w:ind w:left="0" w:leftChars="0"/>
        <w:jc w:val="left"/>
      </w:pPr>
      <w:r>
        <w:rPr>
          <w:rFonts w:ascii="Calibri" w:hAnsi="Calibri" w:eastAsia="宋体" w:cs="黑体"/>
          <w:kern w:val="2"/>
          <w:sz w:val="21"/>
          <w:szCs w:val="24"/>
          <w:lang w:val="en-US" w:eastAsia="zh-CN" w:bidi="ar-SA"/>
        </w:rPr>
        <w:pict>
          <v:shape id="_x0000_i1030" o:spt="75" type="#_x0000_t75" style="height:575.3pt;width:509.2pt;" fillcolor="#FFFFFF" filled="f" o:preferrelative="t" stroked="f" coordsize="21600,21600">
            <v:path/>
            <v:fill on="f" color2="#FFFFFF" focussize="0,0"/>
            <v:stroke on="f"/>
            <v:imagedata r:id="rId21" gain="65536f" blacklevel="0f" gamma="0" o:title=""/>
            <o:lock v:ext="edit" position="f" selection="f" grouping="f" rotation="f" cropping="f" text="f" aspectratio="t"/>
            <w10:wrap type="none"/>
            <w10:anchorlock/>
          </v:shape>
        </w:pict>
      </w:r>
    </w:p>
    <w:p>
      <w:pPr>
        <w:numPr>
          <w:ilvl w:val="0"/>
          <w:numId w:val="0"/>
        </w:numPr>
        <w:autoSpaceDE w:val="0"/>
        <w:autoSpaceDN w:val="0"/>
        <w:adjustRightInd w:val="0"/>
        <w:spacing w:line="360" w:lineRule="auto"/>
        <w:jc w:val="left"/>
      </w:pPr>
    </w:p>
    <w:p>
      <w:pPr>
        <w:numPr>
          <w:ilvl w:val="0"/>
          <w:numId w:val="4"/>
        </w:numPr>
        <w:autoSpaceDE w:val="0"/>
        <w:autoSpaceDN w:val="0"/>
        <w:adjustRightInd w:val="0"/>
        <w:spacing w:line="360" w:lineRule="auto"/>
        <w:jc w:val="left"/>
        <w:rPr>
          <w:rFonts w:ascii="仿宋_GB2312" w:eastAsia="仿宋_GB2312" w:cs="ArialUnicodeMS"/>
          <w:kern w:val="0"/>
          <w:sz w:val="28"/>
          <w:szCs w:val="28"/>
        </w:rPr>
      </w:pPr>
      <w:r>
        <w:rPr>
          <w:rFonts w:hint="eastAsia" w:ascii="仿宋_GB2312" w:eastAsia="仿宋_GB2312" w:cs="ArialUnicodeMS"/>
          <w:kern w:val="0"/>
          <w:sz w:val="32"/>
          <w:szCs w:val="32"/>
        </w:rPr>
        <w:t>一般公共预算财政拨款“三公”经费支出决算表（</w:t>
      </w:r>
      <w:r>
        <w:rPr>
          <w:rFonts w:hint="eastAsia" w:ascii="仿宋_GB2312" w:eastAsia="仿宋_GB2312" w:cs="ArialUnicodeMS"/>
          <w:kern w:val="0"/>
          <w:szCs w:val="21"/>
        </w:rPr>
        <w:t>公开07表</w:t>
      </w:r>
      <w:r>
        <w:rPr>
          <w:rFonts w:hint="eastAsia" w:ascii="仿宋_GB2312" w:eastAsia="仿宋_GB2312" w:cs="ArialUnicodeMS"/>
          <w:kern w:val="0"/>
          <w:sz w:val="28"/>
          <w:szCs w:val="28"/>
        </w:rPr>
        <w:t>）</w:t>
      </w:r>
    </w:p>
    <w:p>
      <w:pPr>
        <w:numPr>
          <w:ilvl w:val="0"/>
          <w:numId w:val="0"/>
        </w:numPr>
        <w:autoSpaceDE w:val="0"/>
        <w:autoSpaceDN w:val="0"/>
        <w:adjustRightInd w:val="0"/>
        <w:spacing w:line="240" w:lineRule="auto"/>
        <w:ind w:left="0" w:leftChars="0"/>
        <w:jc w:val="left"/>
      </w:pPr>
      <w:r>
        <w:rPr>
          <w:rFonts w:ascii="Calibri" w:hAnsi="Calibri" w:eastAsia="宋体" w:cs="黑体"/>
          <w:kern w:val="2"/>
          <w:sz w:val="21"/>
          <w:szCs w:val="24"/>
          <w:lang w:val="en-US" w:eastAsia="zh-CN" w:bidi="ar-SA"/>
        </w:rPr>
        <w:pict>
          <v:shape id="_x0000_i1031" o:spt="75" type="#_x0000_t75" style="height:194.8pt;width:501.65pt;" fillcolor="#FFFFFF" filled="f" o:preferrelative="t" stroked="f" coordsize="21600,21600">
            <v:path/>
            <v:fill on="f" color2="#FFFFFF" focussize="0,0"/>
            <v:stroke on="f"/>
            <v:imagedata r:id="rId22" gain="65536f" blacklevel="0f" gamma="0" o:title=""/>
            <o:lock v:ext="edit" position="f" selection="f" grouping="f" rotation="f" cropping="f" text="f" aspectratio="t"/>
            <w10:wrap type="none"/>
            <w10:anchorlock/>
          </v:shape>
        </w:pict>
      </w: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政府性基金预算财政拨款收入支出决算表（公开08表）</w:t>
      </w:r>
    </w:p>
    <w:p>
      <w:pPr>
        <w:numPr>
          <w:ilvl w:val="0"/>
          <w:numId w:val="0"/>
        </w:numPr>
        <w:autoSpaceDE w:val="0"/>
        <w:autoSpaceDN w:val="0"/>
        <w:adjustRightInd w:val="0"/>
        <w:spacing w:line="240" w:lineRule="auto"/>
        <w:ind w:left="0" w:leftChars="0"/>
        <w:jc w:val="left"/>
      </w:pPr>
      <w:r>
        <w:rPr>
          <w:rFonts w:ascii="Calibri" w:hAnsi="Calibri" w:eastAsia="宋体" w:cs="黑体"/>
          <w:kern w:val="2"/>
          <w:sz w:val="21"/>
          <w:szCs w:val="24"/>
          <w:lang w:val="en-US" w:eastAsia="zh-CN" w:bidi="ar-SA"/>
        </w:rPr>
        <w:pict>
          <v:shape id="_x0000_i1032" o:spt="75" type="#_x0000_t75" style="height:271.15pt;width:482.8pt;" fillcolor="#FFFFFF" filled="f" o:preferrelative="t" stroked="f" coordsize="21600,21600">
            <v:path/>
            <v:fill on="f" color2="#FFFFFF" focussize="0,0"/>
            <v:stroke on="f"/>
            <v:imagedata r:id="rId23" gain="65536f" blacklevel="0f" gamma="0" o:title=""/>
            <o:lock v:ext="edit" position="f" selection="f" grouping="f" rotation="f" cropping="f" text="f" aspectratio="t"/>
            <w10:wrap type="none"/>
            <w10:anchorlock/>
          </v:shape>
        </w:pict>
      </w: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0"/>
        </w:numPr>
        <w:autoSpaceDE w:val="0"/>
        <w:autoSpaceDN w:val="0"/>
        <w:adjustRightInd w:val="0"/>
        <w:spacing w:line="360" w:lineRule="auto"/>
        <w:ind w:left="420" w:leftChars="0"/>
        <w:jc w:val="left"/>
      </w:pPr>
    </w:p>
    <w:p>
      <w:pPr>
        <w:numPr>
          <w:ilvl w:val="0"/>
          <w:numId w:val="4"/>
        </w:numPr>
        <w:autoSpaceDE w:val="0"/>
        <w:autoSpaceDN w:val="0"/>
        <w:adjustRightInd w:val="0"/>
        <w:spacing w:line="360" w:lineRule="auto"/>
        <w:jc w:val="left"/>
        <w:rPr>
          <w:rFonts w:ascii="仿宋_GB2312" w:eastAsia="仿宋_GB2312" w:cs="ArialUnicodeMS"/>
          <w:kern w:val="0"/>
          <w:sz w:val="32"/>
          <w:szCs w:val="32"/>
        </w:rPr>
      </w:pPr>
      <w:r>
        <w:rPr>
          <w:rFonts w:hint="eastAsia" w:ascii="仿宋_GB2312" w:eastAsia="仿宋_GB2312" w:cs="ArialUnicodeMS"/>
          <w:kern w:val="0"/>
          <w:sz w:val="32"/>
          <w:szCs w:val="32"/>
        </w:rPr>
        <w:t>国有资本经营预算财政拨款支出决算表（公开09表）</w:t>
      </w:r>
    </w:p>
    <w:p>
      <w:pPr>
        <w:numPr>
          <w:ilvl w:val="0"/>
          <w:numId w:val="0"/>
        </w:numPr>
        <w:autoSpaceDE w:val="0"/>
        <w:autoSpaceDN w:val="0"/>
        <w:adjustRightInd w:val="0"/>
        <w:spacing w:line="240" w:lineRule="auto"/>
        <w:ind w:left="0" w:leftChars="0"/>
        <w:jc w:val="left"/>
        <w:rPr>
          <w:rFonts w:ascii="仿宋_GB2312" w:eastAsia="仿宋_GB2312" w:cs="ArialUnicodeMS"/>
          <w:kern w:val="0"/>
          <w:sz w:val="32"/>
          <w:szCs w:val="32"/>
        </w:rPr>
      </w:pPr>
      <w:r>
        <w:rPr>
          <w:rFonts w:ascii="Calibri" w:hAnsi="Calibri" w:eastAsia="宋体" w:cs="黑体"/>
          <w:kern w:val="2"/>
          <w:sz w:val="21"/>
          <w:szCs w:val="24"/>
          <w:lang w:val="en-US" w:eastAsia="zh-CN" w:bidi="ar-SA"/>
        </w:rPr>
        <w:pict>
          <v:shape id="_x0000_i1033" o:spt="75" type="#_x0000_t75" style="height:257.3pt;width:476.05pt;" fillcolor="#FFFFFF" filled="f" o:preferrelative="t" stroked="f" coordsize="21600,21600">
            <v:path/>
            <v:fill on="f" color2="#FFFFFF" focussize="0,0"/>
            <v:stroke on="f"/>
            <v:imagedata r:id="rId24" gain="65536f" blacklevel="0f" gamma="0" o:title=""/>
            <o:lock v:ext="edit" position="f" selection="f" grouping="f" rotation="f" cropping="f" text="f" aspectratio="t"/>
            <w10:wrap type="none"/>
            <w10:anchorlock/>
          </v:shape>
        </w:pict>
      </w:r>
    </w:p>
    <w:p>
      <w:pPr>
        <w:autoSpaceDE w:val="0"/>
        <w:autoSpaceDN w:val="0"/>
        <w:adjustRightInd w:val="0"/>
        <w:spacing w:line="360" w:lineRule="auto"/>
        <w:ind w:firstLine="640" w:firstLineChars="200"/>
        <w:jc w:val="left"/>
        <w:rPr>
          <w:rFonts w:ascii="仿宋_GB2312" w:eastAsia="仿宋_GB2312" w:cs="ArialUnicodeMS"/>
          <w:kern w:val="0"/>
          <w:sz w:val="32"/>
          <w:szCs w:val="32"/>
        </w:rPr>
      </w:pP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0" w:csb1="00000000"/>
  </w:font>
  <w:font w:name="Arial Black">
    <w:panose1 w:val="020B0A04020102020204"/>
    <w:charset w:val="00"/>
    <w:family w:val="auto"/>
    <w:pitch w:val="default"/>
    <w:sig w:usb0="A00002AF" w:usb1="400078FB" w:usb2="00000000" w:usb3="00000000" w:csb0="6000009F" w:csb1="DFD70000"/>
  </w:font>
  <w:font w:name="Cambria">
    <w:altName w:val="Palatino Linotype"/>
    <w:panose1 w:val="02040503050406030204"/>
    <w:charset w:val="00"/>
    <w:family w:val="auto"/>
    <w:pitch w:val="default"/>
    <w:sig w:usb0="00000000" w:usb1="00000000" w:usb2="00000000" w:usb3="00000000" w:csb0="2000019F" w:csb1="00000000"/>
  </w:font>
  <w:font w:name="Palatino Linotype">
    <w:panose1 w:val="02040502050505030304"/>
    <w:charset w:val="00"/>
    <w:family w:val="auto"/>
    <w:pitch w:val="default"/>
    <w:sig w:usb0="E0000287" w:usb1="40000013" w:usb2="00000000" w:usb3="00000000" w:csb0="2000019F" w:csb1="00000000"/>
  </w:font>
  <w:font w:name="Mongolian Baiti">
    <w:panose1 w:val="03000500000000000000"/>
    <w:charset w:val="00"/>
    <w:family w:val="auto"/>
    <w:pitch w:val="default"/>
    <w:sig w:usb0="80000023" w:usb1="00000000" w:usb2="00020000" w:usb3="00000000" w:csb0="00000001" w:csb1="00000000"/>
  </w:font>
  <w:font w:name="方正小标宋_GBK">
    <w:altName w:val="宋体"/>
    <w:panose1 w:val="00000000000000000000"/>
    <w:charset w:val="86"/>
    <w:family w:val="auto"/>
    <w:pitch w:val="default"/>
    <w:sig w:usb0="00000000" w:usb1="00000000" w:usb2="00000010" w:usb3="00000000" w:csb0="00040000" w:csb1="00000000"/>
  </w:font>
  <w:font w:name="ArialUnicodeMS">
    <w:altName w:val="Times New Roman"/>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748DFE"/>
    <w:multiLevelType w:val="singleLevel"/>
    <w:tmpl w:val="EB748DFE"/>
    <w:lvl w:ilvl="0" w:tentative="0">
      <w:start w:val="1"/>
      <w:numFmt w:val="decimal"/>
      <w:lvlText w:val="%1."/>
      <w:lvlJc w:val="left"/>
      <w:pPr>
        <w:ind w:left="415" w:hanging="425"/>
      </w:pPr>
      <w:rPr>
        <w:rFonts w:hint="default"/>
        <w:sz w:val="28"/>
        <w:szCs w:val="28"/>
      </w:rPr>
    </w:lvl>
  </w:abstractNum>
  <w:abstractNum w:abstractNumId="1">
    <w:nsid w:val="FA57963F"/>
    <w:multiLevelType w:val="singleLevel"/>
    <w:tmpl w:val="FA57963F"/>
    <w:lvl w:ilvl="0" w:tentative="0">
      <w:start w:val="1"/>
      <w:numFmt w:val="chineseCounting"/>
      <w:suff w:val="nothing"/>
      <w:lvlText w:val="%1、"/>
      <w:lvlJc w:val="left"/>
      <w:pPr>
        <w:ind w:left="0" w:firstLine="420"/>
      </w:pPr>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M2E0ZDhmMjE3ZGU0NDAyNTk2OWJlN2YxYWYzMTI2NjEifQ=="/>
  </w:docVars>
  <w:rsids>
    <w:rsidRoot w:val="34C45458"/>
    <w:rsid w:val="00061A05"/>
    <w:rsid w:val="00061B93"/>
    <w:rsid w:val="0010686E"/>
    <w:rsid w:val="00112995"/>
    <w:rsid w:val="0011478C"/>
    <w:rsid w:val="00147453"/>
    <w:rsid w:val="0018668E"/>
    <w:rsid w:val="001B73D2"/>
    <w:rsid w:val="001E62BF"/>
    <w:rsid w:val="00230E59"/>
    <w:rsid w:val="0025396B"/>
    <w:rsid w:val="0027064E"/>
    <w:rsid w:val="00293E7B"/>
    <w:rsid w:val="002D1F4F"/>
    <w:rsid w:val="002E167A"/>
    <w:rsid w:val="002F1DA9"/>
    <w:rsid w:val="00310EBF"/>
    <w:rsid w:val="00314B8C"/>
    <w:rsid w:val="00366D90"/>
    <w:rsid w:val="003B2051"/>
    <w:rsid w:val="003D2226"/>
    <w:rsid w:val="003D678E"/>
    <w:rsid w:val="003F6D23"/>
    <w:rsid w:val="00461FAF"/>
    <w:rsid w:val="004D1EA2"/>
    <w:rsid w:val="005E0E86"/>
    <w:rsid w:val="006C01AE"/>
    <w:rsid w:val="007620A2"/>
    <w:rsid w:val="00791C72"/>
    <w:rsid w:val="007920FC"/>
    <w:rsid w:val="007B4876"/>
    <w:rsid w:val="00801F66"/>
    <w:rsid w:val="00812C39"/>
    <w:rsid w:val="008775A9"/>
    <w:rsid w:val="008C235D"/>
    <w:rsid w:val="008D3277"/>
    <w:rsid w:val="008D730D"/>
    <w:rsid w:val="009204A6"/>
    <w:rsid w:val="009334BF"/>
    <w:rsid w:val="00982A82"/>
    <w:rsid w:val="00995AAE"/>
    <w:rsid w:val="009D1193"/>
    <w:rsid w:val="00A61E3E"/>
    <w:rsid w:val="00AB1993"/>
    <w:rsid w:val="00B0223F"/>
    <w:rsid w:val="00B17A76"/>
    <w:rsid w:val="00BA1219"/>
    <w:rsid w:val="00BB2584"/>
    <w:rsid w:val="00BE2400"/>
    <w:rsid w:val="00C00C4E"/>
    <w:rsid w:val="00C306C3"/>
    <w:rsid w:val="00C51E96"/>
    <w:rsid w:val="00D067C9"/>
    <w:rsid w:val="00D23CF7"/>
    <w:rsid w:val="00E54963"/>
    <w:rsid w:val="00EB3F98"/>
    <w:rsid w:val="00EF4B8A"/>
    <w:rsid w:val="00F217C2"/>
    <w:rsid w:val="00F2563E"/>
    <w:rsid w:val="00F52FDB"/>
    <w:rsid w:val="00FD5E00"/>
    <w:rsid w:val="00FE5767"/>
    <w:rsid w:val="02690637"/>
    <w:rsid w:val="072B1D73"/>
    <w:rsid w:val="0769037B"/>
    <w:rsid w:val="0EA325C9"/>
    <w:rsid w:val="0EE17C1A"/>
    <w:rsid w:val="10A90D97"/>
    <w:rsid w:val="181800A9"/>
    <w:rsid w:val="1E974380"/>
    <w:rsid w:val="1EA90C91"/>
    <w:rsid w:val="1F7F142D"/>
    <w:rsid w:val="22E46C89"/>
    <w:rsid w:val="25C035D0"/>
    <w:rsid w:val="2E326C0F"/>
    <w:rsid w:val="34C45458"/>
    <w:rsid w:val="35C83C42"/>
    <w:rsid w:val="37427C3A"/>
    <w:rsid w:val="37445DC3"/>
    <w:rsid w:val="3E8B6058"/>
    <w:rsid w:val="429E0345"/>
    <w:rsid w:val="42E22925"/>
    <w:rsid w:val="44083B63"/>
    <w:rsid w:val="46A91F06"/>
    <w:rsid w:val="4857492C"/>
    <w:rsid w:val="49387395"/>
    <w:rsid w:val="4BC4555C"/>
    <w:rsid w:val="4BC610A5"/>
    <w:rsid w:val="4E105795"/>
    <w:rsid w:val="50BE3CFE"/>
    <w:rsid w:val="50C3182D"/>
    <w:rsid w:val="528167D2"/>
    <w:rsid w:val="560223C7"/>
    <w:rsid w:val="5A981325"/>
    <w:rsid w:val="5C1331F6"/>
    <w:rsid w:val="5F8E6D93"/>
    <w:rsid w:val="60154311"/>
    <w:rsid w:val="64190AE4"/>
    <w:rsid w:val="67704959"/>
    <w:rsid w:val="677D3E68"/>
    <w:rsid w:val="695B26FD"/>
    <w:rsid w:val="69773E37"/>
    <w:rsid w:val="6AF77BA8"/>
    <w:rsid w:val="6CA1063E"/>
    <w:rsid w:val="6E6F2827"/>
    <w:rsid w:val="6ECE3F88"/>
    <w:rsid w:val="6FE45AE5"/>
    <w:rsid w:val="72BA2D95"/>
    <w:rsid w:val="735A49AC"/>
    <w:rsid w:val="73D824BD"/>
    <w:rsid w:val="764B3663"/>
    <w:rsid w:val="7C65317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List Paragraph"/>
    <w:basedOn w:val="1"/>
    <w:unhideWhenUsed/>
    <w:qFormat/>
    <w:uiPriority w:val="99"/>
    <w:pPr>
      <w:ind w:firstLine="420" w:firstLineChars="200"/>
    </w:pPr>
  </w:style>
  <w:style w:type="character" w:customStyle="1" w:styleId="10">
    <w:name w:val="批注框文本 字符"/>
    <w:basedOn w:val="8"/>
    <w:link w:val="3"/>
    <w:qFormat/>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oleObject" Target="embeddings/oleObject1.bin"/><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1027"/>
    <customShpInfo spid="_x0000_s1028" textRotate="1"/>
    <customShpInfo spid="_x0000_s1029" textRotate="1"/>
    <customShpInfo spid="_x0000_s1030" textRotate="1"/>
    <customShpInfo spid="_x0000_s1043"/>
    <customShpInfo spid="_x0000_s1042"/>
    <customShpInfo spid="_x0000_s1033" textRotate="1"/>
    <customShpInfo spid="_x0000_s1037" textRotate="1"/>
    <customShpInfo spid="_x0000_s1040"/>
    <customShpInfo spid="_x0000_s1041"/>
    <customShpInfo spid="_x0000_s1038" textRotate="1"/>
    <customShpInfo spid="_x0000_s103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37</Pages>
  <Words>8210</Words>
  <Characters>9016</Characters>
  <Lines>68</Lines>
  <Paragraphs>19</Paragraphs>
  <TotalTime>1</TotalTime>
  <ScaleCrop>false</ScaleCrop>
  <LinksUpToDate>false</LinksUpToDate>
  <CharactersWithSpaces>9064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劈砖少年李铁牛</cp:lastModifiedBy>
  <cp:lastPrinted>2021-08-26T06:52:00Z</cp:lastPrinted>
  <dcterms:modified xsi:type="dcterms:W3CDTF">2022-09-08T01:34:15Z</dcterms:modified>
  <dc:title>_x000F_</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65FA352BAB5146309CB066C800874C19</vt:lpwstr>
  </property>
</Properties>
</file>