
<file path=[Content_Types].xml><?xml version="1.0" encoding="utf-8"?>
<Types xmlns="http://schemas.openxmlformats.org/package/2006/content-types">
  <Default Extension="xml" ContentType="application/xml"/>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mc:AlternateContent>
          <mc:Choice Requires="wps">
            <w:drawing>
              <wp:anchor distT="0" distB="0" distL="114300" distR="114300" simplePos="0" relativeHeight="251665408" behindDoc="0" locked="0" layoutInCell="1" allowOverlap="1">
                <wp:simplePos x="0" y="0"/>
                <wp:positionH relativeFrom="column">
                  <wp:posOffset>1628775</wp:posOffset>
                </wp:positionH>
                <wp:positionV relativeFrom="paragraph">
                  <wp:posOffset>7168515</wp:posOffset>
                </wp:positionV>
                <wp:extent cx="2244725" cy="1221740"/>
                <wp:effectExtent l="0" t="0" r="0" b="0"/>
                <wp:wrapNone/>
                <wp:docPr id="5" name="文本框 5"/>
                <wp:cNvGraphicFramePr/>
                <a:graphic xmlns:a="http://schemas.openxmlformats.org/drawingml/2006/main">
                  <a:graphicData uri="http://schemas.microsoft.com/office/word/2010/wordprocessingShape">
                    <wps:wsp>
                      <wps:cNvSpPr txBox="1"/>
                      <wps:spPr>
                        <a:xfrm>
                          <a:off x="2600960" y="9102725"/>
                          <a:ext cx="2244725" cy="122174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564.45pt;height:96.2pt;width:176.75pt;z-index:251665408;mso-width-relative:page;mso-height-relative:page;" filled="f" stroked="f" coordsize="21600,21600" o:gfxdata="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JCXUatwAAAANAQAADwAAAAAA&#10;AAABACAAAAAiAAAAZHJzL2Rvd25yZXYueG1sUEsBAhQAFAAAAAgAh07iQFt1zdRIAgAAcwQAAA4A&#10;AAAAAAAAAQAgAAAAKwEAAGRycy9lMm9Eb2MueG1sUEsFBgAAAAAGAAYAWQEAAOUFA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6432"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2"/>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高邑县红十字会</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jc w:val="center"/>
        <w:rPr>
          <w:rFonts w:ascii="黑体" w:hAnsi="黑体" w:eastAsia="黑体" w:cs="黑体"/>
          <w:sz w:val="72"/>
          <w:szCs w:val="96"/>
          <w:highlight w:val="yellow"/>
        </w:rPr>
      </w:pPr>
      <w:r>
        <w:rPr>
          <w:rFonts w:hint="eastAsia" w:ascii="黑体" w:hAnsi="黑体" w:eastAsia="黑体" w:cs="黑体"/>
          <w:sz w:val="72"/>
          <w:szCs w:val="96"/>
          <w:lang w:eastAsia="zh-CN"/>
        </w:rPr>
        <w:t>高邑县红十字会</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13"/>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4"/>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(一)开展救灾的相关工作。在自然灾害、事故灾难、公共卫生事件等突发事件中，对伤病人员和其他受害者提供人道救助;</w:t>
      </w:r>
    </w:p>
    <w:p>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(二)开展应急救护培训，普及应急救护、防灾避险和卫生健康知识，组织志愿者参与现场救护;</w:t>
      </w:r>
    </w:p>
    <w:p>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(三)参与、推动无偿献血、遗体和人体器官捐献工作，参与开展造血干细胞捐献的相关工作;</w:t>
      </w:r>
    </w:p>
    <w:p>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(四)组织开展红十字志愿服务、红十字青少年工作;</w:t>
      </w:r>
    </w:p>
    <w:p>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(五)开展县</w:t>
      </w:r>
      <w:r>
        <w:rPr>
          <w:rFonts w:hint="eastAsia" w:ascii="仿宋" w:hAnsi="仿宋" w:eastAsia="仿宋" w:cs="仿宋"/>
          <w:sz w:val="32"/>
          <w:szCs w:val="32"/>
          <w:lang w:eastAsia="zh-CN"/>
        </w:rPr>
        <w:t>委、县</w:t>
      </w:r>
      <w:r>
        <w:rPr>
          <w:rFonts w:hint="eastAsia" w:ascii="仿宋" w:hAnsi="仿宋" w:eastAsia="仿宋" w:cs="仿宋"/>
          <w:sz w:val="32"/>
          <w:szCs w:val="32"/>
        </w:rPr>
        <w:t>政府交办的其他工作。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 xml:space="preserve">年度本部门决算汇编范围的独立核算单位（以下简称“单位”）共 </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tbl>
      <w:tblPr>
        <w:tblStyle w:val="9"/>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pPr>
              <w:spacing w:line="560" w:lineRule="exact"/>
              <w:rPr>
                <w:rFonts w:ascii="仿宋_GB2312" w:hAnsi="Calibri" w:eastAsia="仿宋_GB2312" w:cs="Arial Black"/>
                <w:kern w:val="0"/>
                <w:sz w:val="28"/>
                <w:szCs w:val="28"/>
              </w:rPr>
            </w:pPr>
            <w:r>
              <w:rPr>
                <w:rFonts w:hint="eastAsia" w:ascii="仿宋_GB2312" w:hAnsi="Calibri" w:eastAsia="仿宋_GB2312" w:cs="Arial Black"/>
                <w:kern w:val="0"/>
                <w:sz w:val="28"/>
                <w:szCs w:val="28"/>
                <w:lang w:eastAsia="zh-CN"/>
              </w:rPr>
              <w:t>高邑县红十字会</w:t>
            </w:r>
            <w:r>
              <w:rPr>
                <w:rFonts w:hint="eastAsia" w:ascii="仿宋_GB2312" w:hAnsi="Calibri" w:eastAsia="仿宋_GB2312" w:cs="Arial Black"/>
                <w:kern w:val="0"/>
                <w:sz w:val="28"/>
                <w:szCs w:val="28"/>
              </w:rPr>
              <w:t>(本级)</w:t>
            </w:r>
          </w:p>
        </w:tc>
        <w:tc>
          <w:tcPr>
            <w:tcW w:w="2404" w:type="dxa"/>
          </w:tcPr>
          <w:p>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rPr>
              <w:t>财政补助事业单位</w:t>
            </w:r>
          </w:p>
        </w:tc>
        <w:tc>
          <w:tcPr>
            <w:tcW w:w="2622" w:type="dxa"/>
          </w:tcPr>
          <w:p>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eastAsia="黑体"/>
          <w:sz w:val="32"/>
          <w:szCs w:val="32"/>
        </w:r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131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2336;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13"/>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39.91</w:t>
      </w:r>
      <w:r>
        <w:rPr>
          <w:rFonts w:hint="eastAsia" w:ascii="仿宋_GB2312" w:hAnsi="Times New Roman" w:eastAsia="仿宋_GB2312" w:cs="Wingdings"/>
          <w:sz w:val="32"/>
          <w:szCs w:val="32"/>
        </w:rPr>
        <w:t>万元。与2019年度决算相比，收支各增加</w:t>
      </w:r>
      <w:r>
        <w:rPr>
          <w:rFonts w:hint="eastAsia" w:ascii="仿宋_GB2312" w:hAnsi="Times New Roman" w:eastAsia="仿宋_GB2312" w:cs="Wingdings"/>
          <w:sz w:val="32"/>
          <w:szCs w:val="32"/>
          <w:lang w:val="en-US" w:eastAsia="zh-CN"/>
        </w:rPr>
        <w:t>3.01</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8.15</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社会保障和就业收支有所增加</w:t>
      </w:r>
      <w:r>
        <w:rPr>
          <w:rFonts w:hint="eastAsia" w:ascii="仿宋_GB2312" w:hAnsi="Times New Roman" w:eastAsia="仿宋_GB2312" w:cs="Wingdings"/>
          <w:sz w:val="32"/>
          <w:szCs w:val="32"/>
        </w:rPr>
        <w:t>。</w:t>
      </w:r>
    </w:p>
    <w:p>
      <w:pPr>
        <w:pStyle w:val="2"/>
        <w:rPr>
          <w:rFonts w:ascii="黑体" w:hAnsi="Calibri" w:eastAsia="黑体" w:cs="Times New Roman"/>
          <w:sz w:val="32"/>
          <w:szCs w:val="32"/>
        </w:rPr>
      </w:pPr>
      <w:r>
        <w:drawing>
          <wp:inline distT="0" distB="0" distL="114300" distR="114300">
            <wp:extent cx="4572000" cy="2743200"/>
            <wp:effectExtent l="4445" t="4445" r="14605" b="14605"/>
            <wp:docPr id="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pStyle w:val="2"/>
        <w:rPr>
          <w:rFonts w:ascii="黑体" w:hAnsi="Calibri" w:eastAsia="黑体" w:cs="Times New Roman"/>
          <w:sz w:val="32"/>
          <w:szCs w:val="32"/>
        </w:rPr>
      </w:pPr>
      <w:r>
        <w:rPr>
          <w:rFonts w:hint="eastAsia" w:ascii="黑体" w:hAnsi="Calibri" w:eastAsia="黑体" w:cs="Times New Roman"/>
          <w:sz w:val="32"/>
          <w:szCs w:val="32"/>
          <w:lang w:val="en-US" w:eastAsia="zh-CN"/>
        </w:rPr>
        <w:t xml:space="preserve">       </w:t>
      </w:r>
      <w:r>
        <w:rPr>
          <w:rFonts w:hint="eastAsia" w:ascii="黑体" w:hAnsi="Calibri" w:eastAsia="黑体" w:cs="Times New Roman"/>
          <w:sz w:val="32"/>
          <w:szCs w:val="32"/>
        </w:rPr>
        <w:t>2019-2020年收支总计对比情况</w:t>
      </w:r>
      <w:r>
        <w:rPr>
          <w:rFonts w:hint="eastAsia" w:ascii="黑体" w:hAnsi="Calibri" w:eastAsia="黑体" w:cs="Times New Roman"/>
          <w:sz w:val="32"/>
          <w:szCs w:val="32"/>
          <w:lang w:val="en-US" w:eastAsia="zh-CN"/>
        </w:rPr>
        <w:t>(图1）</w:t>
      </w:r>
    </w:p>
    <w:p>
      <w:pPr>
        <w:pStyle w:val="2"/>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ascii="黑体" w:hAnsi="Calibri" w:eastAsia="黑体" w:cs="Times New Roman"/>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39.65</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39.65</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100</w:t>
      </w:r>
      <w:r>
        <w:rPr>
          <w:rFonts w:hint="eastAsia" w:ascii="仿宋_GB2312" w:hAnsi="Times New Roman" w:eastAsia="仿宋_GB2312" w:cs="Wingdings"/>
          <w:color w:val="000000" w:themeColor="text1"/>
          <w:sz w:val="32"/>
          <w:szCs w:val="32"/>
          <w14:textFill>
            <w14:solidFill>
              <w14:schemeClr w14:val="tx1"/>
            </w14:solidFill>
          </w14:textFill>
        </w:rPr>
        <w:t>%</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 xml:space="preserve"> </w:t>
      </w:r>
      <w:r>
        <w:rPr>
          <w:rFonts w:hint="eastAsia" w:ascii="仿宋_GB2312" w:hAnsi="Times New Roman" w:eastAsia="仿宋_GB2312" w:cs="Wingdings"/>
          <w:color w:val="000000" w:themeColor="text1"/>
          <w:sz w:val="32"/>
          <w:szCs w:val="32"/>
          <w14:textFill>
            <w14:solidFill>
              <w14:schemeClr w14:val="tx1"/>
            </w14:solidFill>
          </w14:textFill>
        </w:rPr>
        <w:t>。</w:t>
      </w: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39.65</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37.65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95</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%。如图所示：</w:t>
      </w:r>
    </w:p>
    <w:p>
      <w:pPr>
        <w:keepNext/>
        <w:keepLines/>
        <w:pageBreakBefore w:val="0"/>
        <w:widowControl w:val="0"/>
        <w:kinsoku/>
        <w:wordWrap/>
        <w:overflowPunct/>
        <w:topLinePunct w:val="0"/>
        <w:autoSpaceDE/>
        <w:autoSpaceDN/>
        <w:bidi w:val="0"/>
        <w:adjustRightInd/>
        <w:snapToGrid w:val="0"/>
        <w:spacing w:line="240" w:lineRule="auto"/>
        <w:ind w:left="0" w:leftChars="0" w:right="0" w:rightChars="0" w:firstLine="640" w:firstLineChars="200"/>
        <w:jc w:val="both"/>
        <w:textAlignment w:val="auto"/>
        <w:outlineLvl w:val="1"/>
        <w:rPr>
          <w:rFonts w:hint="eastAsia" w:ascii="黑体" w:hAnsi="Calibri" w:eastAsia="黑体" w:cs="Times New Roman"/>
          <w:sz w:val="32"/>
          <w:szCs w:val="32"/>
        </w:rPr>
      </w:pPr>
    </w:p>
    <w:p>
      <w:pPr>
        <w:keepNext/>
        <w:keepLines/>
        <w:pageBreakBefore w:val="0"/>
        <w:widowControl w:val="0"/>
        <w:kinsoku/>
        <w:wordWrap/>
        <w:overflowPunct/>
        <w:topLinePunct w:val="0"/>
        <w:autoSpaceDE/>
        <w:autoSpaceDN/>
        <w:bidi w:val="0"/>
        <w:adjustRightInd/>
        <w:snapToGrid w:val="0"/>
        <w:spacing w:line="240" w:lineRule="auto"/>
        <w:ind w:left="0" w:leftChars="0" w:right="0" w:rightChars="0" w:firstLine="420" w:firstLineChars="200"/>
        <w:jc w:val="both"/>
        <w:textAlignment w:val="auto"/>
        <w:outlineLvl w:val="1"/>
        <w:rPr>
          <w:rFonts w:hint="eastAsia" w:ascii="黑体" w:hAnsi="Calibri" w:eastAsia="黑体" w:cs="Times New Roman"/>
          <w:sz w:val="32"/>
          <w:szCs w:val="32"/>
        </w:rPr>
      </w:pPr>
      <w:r>
        <w:drawing>
          <wp:inline distT="0" distB="0" distL="114300" distR="114300">
            <wp:extent cx="4909185" cy="2588895"/>
            <wp:effectExtent l="4445" t="4445" r="20320" b="16510"/>
            <wp:docPr id="6"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keepNext/>
        <w:keepLines/>
        <w:pageBreakBefore w:val="0"/>
        <w:widowControl w:val="0"/>
        <w:kinsoku/>
        <w:wordWrap/>
        <w:overflowPunct/>
        <w:topLinePunct w:val="0"/>
        <w:autoSpaceDE/>
        <w:autoSpaceDN/>
        <w:bidi w:val="0"/>
        <w:adjustRightInd/>
        <w:snapToGrid w:val="0"/>
        <w:spacing w:line="240" w:lineRule="auto"/>
        <w:ind w:left="0" w:leftChars="0" w:right="0" w:rightChars="0" w:firstLine="640" w:firstLineChars="200"/>
        <w:jc w:val="both"/>
        <w:textAlignment w:val="auto"/>
        <w:outlineLvl w:val="1"/>
        <w:rPr>
          <w:rFonts w:hint="eastAsia" w:ascii="黑体" w:hAnsi="Calibri" w:eastAsia="黑体" w:cs="Times New Roman"/>
          <w:sz w:val="32"/>
          <w:szCs w:val="32"/>
        </w:rPr>
      </w:pPr>
    </w:p>
    <w:p>
      <w:pPr>
        <w:keepNext/>
        <w:keepLines/>
        <w:pageBreakBefore w:val="0"/>
        <w:widowControl w:val="0"/>
        <w:kinsoku/>
        <w:wordWrap/>
        <w:overflowPunct/>
        <w:topLinePunct w:val="0"/>
        <w:autoSpaceDE/>
        <w:autoSpaceDN/>
        <w:bidi w:val="0"/>
        <w:adjustRightInd/>
        <w:snapToGrid w:val="0"/>
        <w:spacing w:line="240" w:lineRule="auto"/>
        <w:ind w:left="0" w:leftChars="0" w:right="0" w:rightChars="0" w:firstLine="640" w:firstLineChars="200"/>
        <w:jc w:val="both"/>
        <w:textAlignment w:val="auto"/>
        <w:outlineLvl w:val="1"/>
        <w:rPr>
          <w:rFonts w:hint="eastAsia" w:ascii="黑体" w:hAnsi="Calibri" w:eastAsia="黑体" w:cs="Times New Roman"/>
          <w:sz w:val="32"/>
          <w:szCs w:val="32"/>
        </w:rPr>
      </w:pPr>
    </w:p>
    <w:p>
      <w:pPr>
        <w:keepNext/>
        <w:keepLines/>
        <w:pageBreakBefore w:val="0"/>
        <w:widowControl w:val="0"/>
        <w:kinsoku/>
        <w:wordWrap/>
        <w:overflowPunct/>
        <w:topLinePunct w:val="0"/>
        <w:autoSpaceDE/>
        <w:autoSpaceDN/>
        <w:bidi w:val="0"/>
        <w:adjustRightInd/>
        <w:snapToGrid w:val="0"/>
        <w:spacing w:line="240" w:lineRule="auto"/>
        <w:ind w:left="0" w:leftChars="0" w:right="0" w:rightChars="0" w:firstLine="803" w:firstLineChars="200"/>
        <w:jc w:val="both"/>
        <w:textAlignment w:val="auto"/>
        <w:outlineLvl w:val="1"/>
        <w:rPr>
          <w:rFonts w:hint="eastAsia" w:ascii="黑体" w:hAnsi="Calibri" w:eastAsia="黑体" w:cs="Times New Roman"/>
          <w:b/>
          <w:bCs/>
          <w:sz w:val="44"/>
          <w:szCs w:val="44"/>
        </w:rPr>
      </w:pPr>
      <w:r>
        <w:rPr>
          <w:rFonts w:hint="eastAsia" w:ascii="仿宋_GB2312" w:hAnsi="Times New Roman" w:eastAsia="仿宋_GB2312" w:cs="Wingdings"/>
          <w:b/>
          <w:bCs/>
          <w:sz w:val="40"/>
          <w:szCs w:val="40"/>
          <w:lang w:val="en-US" w:eastAsia="zh-CN"/>
        </w:rPr>
        <w:t xml:space="preserve">  </w:t>
      </w:r>
      <w:r>
        <w:rPr>
          <w:rFonts w:hint="eastAsia" w:ascii="仿宋_GB2312" w:hAnsi="Times New Roman" w:eastAsia="仿宋_GB2312" w:cs="Wingdings"/>
          <w:b/>
          <w:bCs/>
          <w:sz w:val="40"/>
          <w:szCs w:val="40"/>
        </w:rPr>
        <w:t>支出决算构成情况（按支出性质）</w:t>
      </w:r>
    </w:p>
    <w:p>
      <w:pPr>
        <w:keepNext/>
        <w:keepLines/>
        <w:pageBreakBefore w:val="0"/>
        <w:widowControl w:val="0"/>
        <w:kinsoku/>
        <w:wordWrap/>
        <w:overflowPunct/>
        <w:topLinePunct w:val="0"/>
        <w:autoSpaceDE/>
        <w:autoSpaceDN/>
        <w:bidi w:val="0"/>
        <w:adjustRightInd/>
        <w:snapToGrid w:val="0"/>
        <w:spacing w:line="240" w:lineRule="auto"/>
        <w:ind w:left="0" w:leftChars="0" w:right="0" w:rightChars="0" w:firstLine="960" w:firstLineChars="200"/>
        <w:jc w:val="both"/>
        <w:textAlignment w:val="auto"/>
        <w:outlineLvl w:val="1"/>
        <w:rPr>
          <w:rFonts w:hint="eastAsia" w:ascii="黑体" w:hAnsi="Calibri" w:eastAsia="黑体" w:cs="Times New Roman"/>
          <w:sz w:val="48"/>
          <w:szCs w:val="48"/>
        </w:rPr>
      </w:pPr>
    </w:p>
    <w:p>
      <w:pPr>
        <w:keepNext/>
        <w:keepLines/>
        <w:pageBreakBefore w:val="0"/>
        <w:widowControl w:val="0"/>
        <w:kinsoku/>
        <w:wordWrap/>
        <w:overflowPunct/>
        <w:topLinePunct w:val="0"/>
        <w:autoSpaceDE/>
        <w:autoSpaceDN/>
        <w:bidi w:val="0"/>
        <w:adjustRightInd/>
        <w:snapToGrid w:val="0"/>
        <w:spacing w:line="240" w:lineRule="auto"/>
        <w:ind w:left="0" w:leftChars="0" w:right="0" w:rightChars="0" w:firstLine="640" w:firstLineChars="200"/>
        <w:jc w:val="both"/>
        <w:textAlignment w:val="auto"/>
        <w:outlineLvl w:val="1"/>
        <w:rPr>
          <w:rFonts w:hint="eastAsia"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w:t>
      </w:r>
      <w:r>
        <w:rPr>
          <w:rFonts w:hint="eastAsia" w:ascii="仿宋_GB2312" w:hAnsi="Times New Roman" w:eastAsia="仿宋_GB2312" w:cs="Wingdings"/>
          <w:sz w:val="32"/>
          <w:szCs w:val="32"/>
          <w:lang w:val="en-US" w:eastAsia="zh-CN"/>
        </w:rPr>
        <w:t>39.65</w:t>
      </w:r>
      <w:r>
        <w:rPr>
          <w:rFonts w:hint="eastAsia" w:ascii="仿宋_GB2312" w:hAnsi="Times New Roman" w:eastAsia="仿宋_GB2312" w:cs="Wingdings"/>
          <w:sz w:val="32"/>
          <w:szCs w:val="32"/>
        </w:rPr>
        <w:t>万元,比2019年度增加</w:t>
      </w:r>
      <w:r>
        <w:rPr>
          <w:rFonts w:hint="eastAsia" w:ascii="仿宋_GB2312" w:hAnsi="Times New Roman" w:eastAsia="仿宋_GB2312" w:cs="Wingdings"/>
          <w:sz w:val="32"/>
          <w:szCs w:val="32"/>
          <w:lang w:val="en-US" w:eastAsia="zh-CN"/>
        </w:rPr>
        <w:t>4.11</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11.56</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人员工资及各类保险有所增加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39.65</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3.01</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8.2</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人员工资及各项保险有所增加</w:t>
      </w:r>
      <w:r>
        <w:rPr>
          <w:rFonts w:hint="eastAsia" w:ascii="仿宋_GB2312" w:hAnsi="Times New Roman" w:eastAsia="仿宋_GB2312" w:cs="Wingdings"/>
          <w:sz w:val="32"/>
          <w:szCs w:val="32"/>
        </w:rPr>
        <w:t>。</w:t>
      </w:r>
    </w:p>
    <w:p>
      <w:pPr>
        <w:pStyle w:val="2"/>
        <w:rPr>
          <w:rFonts w:hint="eastAsia" w:ascii="仿宋_GB2312" w:hAnsi="Times New Roman" w:eastAsia="仿宋_GB2312" w:cs="Wingdings"/>
          <w:sz w:val="32"/>
          <w:szCs w:val="32"/>
          <w:highlight w:val="yellow"/>
        </w:rPr>
      </w:pPr>
      <w:r>
        <w:drawing>
          <wp:inline distT="0" distB="0" distL="114300" distR="114300">
            <wp:extent cx="4572000" cy="2743200"/>
            <wp:effectExtent l="4445" t="4445" r="14605" b="14605"/>
            <wp:docPr id="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2"/>
        <w:rPr>
          <w:rFonts w:hint="eastAsia" w:ascii="仿宋_GB2312" w:hAnsi="Times New Roman" w:eastAsia="仿宋_GB2312" w:cs="Wingdings"/>
          <w:b/>
          <w:bCs/>
          <w:sz w:val="36"/>
          <w:szCs w:val="36"/>
          <w:highlight w:val="yellow"/>
        </w:rPr>
      </w:pPr>
      <w:r>
        <w:rPr>
          <w:rFonts w:hint="eastAsia" w:ascii="仿宋_GB2312" w:hAnsi="Times New Roman" w:eastAsia="仿宋_GB2312" w:cs="Wingdings"/>
          <w:b/>
          <w:bCs/>
          <w:sz w:val="36"/>
          <w:szCs w:val="36"/>
          <w:highlight w:val="yellow"/>
          <w:lang w:val="en-US" w:eastAsia="zh-CN"/>
        </w:rPr>
        <w:t xml:space="preserve"> </w:t>
      </w:r>
      <w:r>
        <w:rPr>
          <w:rFonts w:hint="eastAsia" w:ascii="仿宋_GB2312" w:hAnsi="Times New Roman" w:eastAsia="仿宋_GB2312" w:cs="Wingdings"/>
          <w:b/>
          <w:bCs/>
          <w:sz w:val="36"/>
          <w:szCs w:val="36"/>
          <w:highlight w:val="yellow"/>
        </w:rPr>
        <w:t>财政拨款收支与上年决算数</w:t>
      </w:r>
      <w:r>
        <w:rPr>
          <w:rFonts w:hint="eastAsia" w:ascii="仿宋_GB2312" w:hAnsi="Times New Roman" w:eastAsia="仿宋_GB2312" w:cs="Wingdings"/>
          <w:b/>
          <w:bCs/>
          <w:sz w:val="36"/>
          <w:szCs w:val="36"/>
          <w:highlight w:val="yellow"/>
          <w:lang w:eastAsia="zh-CN"/>
        </w:rPr>
        <w:t>对比情况</w:t>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w:t>
      </w:r>
      <w:r>
        <w:rPr>
          <w:rFonts w:hint="eastAsia" w:ascii="仿宋_GB2312" w:hAnsi="Times New Roman" w:eastAsia="仿宋_GB2312" w:cs="Wingdings"/>
          <w:sz w:val="32"/>
          <w:szCs w:val="32"/>
          <w:lang w:val="en-US" w:eastAsia="zh-CN"/>
        </w:rPr>
        <w:t>62.62</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63.3</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22.97</w:t>
      </w:r>
      <w:r>
        <w:rPr>
          <w:rFonts w:hint="eastAsia" w:ascii="仿宋_GB2312" w:hAnsi="Times New Roman" w:eastAsia="仿宋_GB2312" w:cs="Wingdings"/>
          <w:sz w:val="32"/>
          <w:szCs w:val="32"/>
        </w:rPr>
        <w:t>万元，决算数小于预算数主要原因是</w:t>
      </w:r>
      <w:r>
        <w:rPr>
          <w:rFonts w:hint="eastAsia" w:ascii="仿宋_GB2312" w:hAnsi="Times New Roman" w:eastAsia="仿宋_GB2312" w:cs="Wingdings"/>
          <w:sz w:val="32"/>
          <w:szCs w:val="32"/>
          <w:lang w:eastAsia="zh-CN"/>
        </w:rPr>
        <w:t>行政运行偏差较大</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39.65</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63.3</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22.97</w:t>
      </w:r>
      <w:r>
        <w:rPr>
          <w:rFonts w:hint="eastAsia" w:ascii="仿宋_GB2312" w:hAnsi="Times New Roman" w:eastAsia="仿宋_GB2312" w:cs="Wingdings"/>
          <w:sz w:val="32"/>
          <w:szCs w:val="32"/>
        </w:rPr>
        <w:t>万元，决算数小于）预算数主要原因是</w:t>
      </w:r>
      <w:r>
        <w:rPr>
          <w:rFonts w:hint="eastAsia" w:ascii="仿宋_GB2312" w:hAnsi="Times New Roman" w:eastAsia="仿宋_GB2312" w:cs="Wingdings"/>
          <w:sz w:val="32"/>
          <w:szCs w:val="32"/>
          <w:lang w:eastAsia="zh-CN"/>
        </w:rPr>
        <w:t>行政运行偏差较大</w:t>
      </w:r>
      <w:r>
        <w:rPr>
          <w:rFonts w:hint="eastAsia" w:ascii="仿宋_GB2312" w:hAnsi="Times New Roman" w:eastAsia="仿宋_GB2312" w:cs="Wingdings"/>
          <w:sz w:val="32"/>
          <w:szCs w:val="32"/>
        </w:rPr>
        <w:t>。</w:t>
      </w:r>
    </w:p>
    <w:p>
      <w:pPr>
        <w:pStyle w:val="2"/>
        <w:rPr>
          <w:rFonts w:ascii="仿宋_GB2312" w:hAnsi="Times New Roman" w:eastAsia="仿宋_GB2312" w:cs="Wingdings"/>
          <w:sz w:val="32"/>
          <w:szCs w:val="32"/>
          <w:highlight w:val="yellow"/>
        </w:rPr>
      </w:pPr>
    </w:p>
    <w:p>
      <w:pPr>
        <w:pStyle w:val="2"/>
        <w:rPr>
          <w:rFonts w:ascii="仿宋_GB2312" w:hAnsi="Times New Roman" w:eastAsia="仿宋_GB2312" w:cs="Wingdings"/>
          <w:sz w:val="32"/>
          <w:szCs w:val="32"/>
          <w:highlight w:val="yellow"/>
        </w:rPr>
      </w:pPr>
    </w:p>
    <w:p>
      <w:pPr>
        <w:pStyle w:val="2"/>
      </w:pPr>
      <w:r>
        <w:drawing>
          <wp:inline distT="0" distB="0" distL="114300" distR="114300">
            <wp:extent cx="4548505" cy="2469515"/>
            <wp:effectExtent l="4445" t="4445" r="19050" b="21590"/>
            <wp:docPr id="9"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2"/>
        <w:rPr>
          <w:rFonts w:hint="eastAsia" w:eastAsiaTheme="minorEastAsia"/>
          <w:b/>
          <w:bCs/>
          <w:sz w:val="36"/>
          <w:szCs w:val="36"/>
          <w:lang w:eastAsia="zh-CN"/>
        </w:rPr>
      </w:pPr>
      <w:r>
        <w:rPr>
          <w:rFonts w:hint="eastAsia"/>
          <w:b/>
          <w:bCs/>
          <w:sz w:val="36"/>
          <w:szCs w:val="36"/>
          <w:lang w:val="en-US" w:eastAsia="zh-CN"/>
        </w:rPr>
        <w:t xml:space="preserve">  </w:t>
      </w:r>
      <w:r>
        <w:rPr>
          <w:rFonts w:hint="eastAsia"/>
          <w:b/>
          <w:bCs/>
          <w:sz w:val="36"/>
          <w:szCs w:val="36"/>
          <w:lang w:eastAsia="zh-CN"/>
        </w:rPr>
        <w:t>财政拨款收入与年初预算数对比情况</w:t>
      </w: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楷体_GB2312" w:hAnsi="Times New Roman" w:eastAsia="楷体_GB2312" w:cs="Mongolian Baiti"/>
          <w:b/>
          <w:bC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39.65</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eastAsia="zh-CN"/>
        </w:rPr>
        <w:t>：</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33.08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83.43</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4.46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11.25</w:t>
      </w:r>
      <w:r>
        <w:rPr>
          <w:rFonts w:hint="eastAsia" w:ascii="仿宋_GB2312" w:hAnsi="Times New Roman" w:eastAsia="仿宋_GB2312" w:cs="DengXian-Regular"/>
          <w:sz w:val="32"/>
          <w:szCs w:val="32"/>
        </w:rPr>
        <w:t>%;卫生健康支出</w:t>
      </w:r>
      <w:r>
        <w:rPr>
          <w:rFonts w:hint="eastAsia" w:ascii="仿宋_GB2312" w:hAnsi="Times New Roman" w:eastAsia="仿宋_GB2312" w:cs="DengXian-Regular"/>
          <w:sz w:val="32"/>
          <w:szCs w:val="32"/>
          <w:lang w:val="en-US" w:eastAsia="zh-CN"/>
        </w:rPr>
        <w:t>2.11万元，占5.32%</w:t>
      </w:r>
      <w:r>
        <w:rPr>
          <w:rFonts w:hint="eastAsia" w:ascii="仿宋_GB2312" w:hAnsi="Times New Roman" w:eastAsia="仿宋_GB2312" w:cs="DengXian-Regular"/>
          <w:sz w:val="32"/>
          <w:szCs w:val="32"/>
        </w:rPr>
        <w:t>。</w:t>
      </w:r>
    </w:p>
    <w:p>
      <w:pPr>
        <w:pStyle w:val="2"/>
        <w:keepNext w:val="0"/>
        <w:keepLines w:val="0"/>
        <w:pageBreakBefore w:val="0"/>
        <w:widowControl w:val="0"/>
        <w:kinsoku/>
        <w:wordWrap/>
        <w:overflowPunct/>
        <w:topLinePunct w:val="0"/>
        <w:autoSpaceDE/>
        <w:autoSpaceDN/>
        <w:bidi w:val="0"/>
        <w:spacing w:before="0" w:beforeAutospacing="0" w:after="0" w:line="240" w:lineRule="auto"/>
        <w:ind w:right="0" w:rightChars="0"/>
        <w:jc w:val="both"/>
        <w:textAlignment w:val="auto"/>
        <w:outlineLvl w:val="9"/>
        <w:rPr>
          <w:rFonts w:ascii="楷体_GB2312" w:hAnsi="Times New Roman" w:eastAsia="楷体_GB2312" w:cs="Mongolian Baiti"/>
          <w:b/>
          <w:bCs/>
          <w:sz w:val="32"/>
          <w:szCs w:val="32"/>
        </w:rPr>
      </w:pPr>
      <w:r>
        <w:drawing>
          <wp:inline distT="0" distB="0" distL="114300" distR="114300">
            <wp:extent cx="4567555" cy="2341245"/>
            <wp:effectExtent l="4445" t="4445" r="19050" b="16510"/>
            <wp:docPr id="1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2"/>
        <w:rPr>
          <w:rFonts w:ascii="楷体_GB2312" w:hAnsi="Times New Roman" w:eastAsia="楷体_GB2312" w:cs="Mongolian Baiti"/>
          <w:b/>
          <w:bCs/>
          <w:sz w:val="36"/>
          <w:szCs w:val="36"/>
        </w:rPr>
      </w:pPr>
      <w:r>
        <w:rPr>
          <w:rFonts w:hint="eastAsia" w:ascii="楷体_GB2312" w:hAnsi="Times New Roman" w:eastAsia="楷体_GB2312" w:cs="Mongolian Baiti"/>
          <w:b/>
          <w:bCs/>
          <w:sz w:val="36"/>
          <w:szCs w:val="36"/>
          <w:lang w:val="en-US" w:eastAsia="zh-CN"/>
        </w:rPr>
        <w:t xml:space="preserve">    </w:t>
      </w:r>
      <w:r>
        <w:rPr>
          <w:rFonts w:hint="eastAsia" w:ascii="楷体_GB2312" w:hAnsi="Times New Roman" w:eastAsia="楷体_GB2312" w:cs="Mongolian Baiti"/>
          <w:b/>
          <w:bCs/>
          <w:sz w:val="36"/>
          <w:szCs w:val="36"/>
        </w:rPr>
        <w:t>财政拨款支出决算结构情况</w:t>
      </w:r>
    </w:p>
    <w:p>
      <w:pPr>
        <w:adjustRightInd w:val="0"/>
        <w:snapToGrid w:val="0"/>
        <w:spacing w:line="600" w:lineRule="exact"/>
        <w:ind w:left="420" w:leftChars="200"/>
        <w:rPr>
          <w:rFonts w:hint="eastAsia" w:ascii="楷体_GB2312" w:hAnsi="Times New Roman" w:eastAsia="楷体_GB2312" w:cs="Mongolian Baiti"/>
          <w:b/>
          <w:bCs/>
          <w:sz w:val="32"/>
          <w:szCs w:val="32"/>
        </w:rPr>
      </w:pP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37.65</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33.29</w:t>
      </w:r>
      <w:r>
        <w:rPr>
          <w:rFonts w:hint="eastAsia" w:ascii="仿宋_GB2312" w:hAnsi="Times New Roman"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Wingdings"/>
          <w:sz w:val="32"/>
          <w:szCs w:val="32"/>
          <w:lang w:val="en-US" w:eastAsia="zh-CN"/>
        </w:rPr>
        <w:t>4.12</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1.04</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1.04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厉行节约。与</w:t>
      </w:r>
      <w:r>
        <w:rPr>
          <w:rFonts w:hint="eastAsia" w:ascii="仿宋_GB2312" w:hAnsi="Times New Roman" w:eastAsia="仿宋_GB2312" w:cs="Wingdings"/>
          <w:sz w:val="32"/>
          <w:szCs w:val="32"/>
        </w:rPr>
        <w:t>2019年度</w:t>
      </w:r>
      <w:r>
        <w:rPr>
          <w:rFonts w:hint="eastAsia" w:ascii="仿宋_GB2312" w:hAnsi="Times New Roman" w:eastAsia="仿宋_GB2312" w:cs="Wingdings"/>
          <w:sz w:val="32"/>
          <w:szCs w:val="32"/>
          <w:lang w:eastAsia="zh-CN"/>
        </w:rPr>
        <w:t>持平无增减变化</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人/无本单位组织的出国（境）团组。因公出国（境）费支出较预算增加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x万元，增长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未发生此类支出</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与上年持平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1.04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未发生公务用车购置及运行维护费</w:t>
      </w:r>
      <w:r>
        <w:rPr>
          <w:rFonts w:hint="eastAsia" w:ascii="仿宋_GB2312" w:hAnsi="Times New Roman" w:eastAsia="仿宋_GB2312" w:cs="Wingdings"/>
          <w:sz w:val="32"/>
          <w:szCs w:val="32"/>
        </w:rPr>
        <w:t>；较上年增加减少</w:t>
      </w:r>
      <w:r>
        <w:rPr>
          <w:rFonts w:hint="eastAsia" w:ascii="仿宋_GB2312" w:hAnsi="Times New Roman" w:eastAsia="仿宋_GB2312" w:cs="Wingdings"/>
          <w:sz w:val="32"/>
          <w:szCs w:val="32"/>
          <w:lang w:val="en-US" w:eastAsia="zh-CN"/>
        </w:rPr>
        <w:t>0.48</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厉行节约</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万元。公务用车购置费支出较预算增加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未发生‘公务用车购置’经费支出</w:t>
      </w:r>
      <w:r>
        <w:rPr>
          <w:rFonts w:hint="eastAsia" w:ascii="仿宋_GB2312" w:hAnsi="Times New Roman" w:eastAsia="仿宋_GB2312" w:cs="Wingdings"/>
          <w:sz w:val="32"/>
          <w:szCs w:val="32"/>
        </w:rPr>
        <w:t>；较上年增加（减少）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与上年持平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万元。公车运行维护费支出较预算减</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未发生公车运行维护费</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0.48</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厉行节约</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人次。公务接待费支出较预算增加（减少）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未发生公务接待费</w:t>
      </w:r>
      <w:r>
        <w:rPr>
          <w:rFonts w:hint="eastAsia" w:ascii="仿宋_GB2312" w:hAnsi="Times New Roman" w:eastAsia="仿宋_GB2312" w:cs="Wingdings"/>
          <w:sz w:val="32"/>
          <w:szCs w:val="32"/>
        </w:rPr>
        <w:t>；较上年度增加（减少）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与上年持平</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应急救护培训</w:t>
      </w:r>
      <w:r>
        <w:rPr>
          <w:rFonts w:hint="eastAsia" w:ascii="仿宋_GB2312" w:hAnsi="仿宋_GB2312" w:eastAsia="仿宋_GB2312" w:cs="仿宋_GB2312"/>
          <w:sz w:val="32"/>
          <w:szCs w:val="32"/>
        </w:rPr>
        <w:t>”项目开展了部门重点评价，涉及一般公共预算支出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万元。其中，从评价情况来看，本部门在今年部门决算公开中反映</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 xml:space="preserve"> 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备灾救灾备用金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ind w:firstLine="640" w:firstLineChars="200"/>
        <w:rPr>
          <w:rFonts w:hint="eastAsia" w:ascii="仿宋" w:hAnsi="仿宋" w:eastAsia="仿宋"/>
          <w:color w:val="000000"/>
          <w:sz w:val="32"/>
          <w:szCs w:val="32"/>
          <w:shd w:val="clear" w:color="auto" w:fill="FFFFFF"/>
        </w:rPr>
      </w:pPr>
      <w:r>
        <w:rPr>
          <w:rFonts w:hint="eastAsia" w:ascii="仿宋_GB2312" w:hAnsi="仿宋_GB2312" w:eastAsia="仿宋_GB2312" w:cs="仿宋_GB2312"/>
          <w:sz w:val="32"/>
          <w:szCs w:val="32"/>
          <w:lang w:eastAsia="zh-CN"/>
        </w:rPr>
        <w:t>应急救护培训</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应急救护</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两个项目均按照预算要求</w:t>
      </w:r>
      <w:r>
        <w:rPr>
          <w:rFonts w:hint="eastAsia" w:ascii="仿宋_GB2312" w:hAnsi="仿宋_GB2312" w:eastAsia="仿宋_GB2312" w:cs="仿宋_GB2312"/>
          <w:sz w:val="32"/>
          <w:szCs w:val="32"/>
          <w:lang w:val="en-US" w:eastAsia="zh-CN"/>
        </w:rPr>
        <w:t>100%完成；</w:t>
      </w:r>
      <w:r>
        <w:rPr>
          <w:rFonts w:hint="eastAsia" w:ascii="仿宋_GB2312" w:hAnsi="仿宋_GB2312" w:eastAsia="仿宋_GB2312" w:cs="仿宋_GB2312"/>
          <w:sz w:val="32"/>
          <w:szCs w:val="32"/>
        </w:rPr>
        <w:t>二是</w:t>
      </w:r>
      <w:r>
        <w:rPr>
          <w:rFonts w:hint="eastAsia" w:ascii="仿宋" w:hAnsi="仿宋" w:eastAsia="仿宋"/>
          <w:color w:val="000000"/>
          <w:sz w:val="32"/>
          <w:szCs w:val="32"/>
          <w:shd w:val="clear" w:color="auto" w:fill="FFFFFF"/>
        </w:rPr>
        <w:t>为保证预算管理工作规范有序进行，我单位按照依法理财、勤俭办事，明确责任，量入为出、保证重点，综合平衡、讲求实效的基本原则，建立健全财务管理制度，对预算编制、资金管理、经费收支审批等均作了明确规定。</w:t>
      </w:r>
    </w:p>
    <w:p>
      <w:pPr>
        <w:numPr>
          <w:ilvl w:val="0"/>
          <w:numId w:val="0"/>
        </w:numPr>
        <w:adjustRightInd w:val="0"/>
        <w:snapToGrid w:val="0"/>
        <w:spacing w:line="58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发现的主要问题及原因：</w:t>
      </w:r>
      <w:r>
        <w:rPr>
          <w:rFonts w:hint="eastAsia" w:eastAsia="仿宋"/>
          <w:color w:val="000000"/>
          <w:sz w:val="32"/>
          <w:szCs w:val="32"/>
          <w:shd w:val="clear" w:color="auto" w:fill="FFFFFF"/>
        </w:rPr>
        <w:t>由于绩效目标管理经验不足，导致预算绩效目标设置和绩效指标编制水平有待进一步提高。</w:t>
      </w:r>
      <w:r>
        <w:rPr>
          <w:rFonts w:hint="eastAsia" w:ascii="仿宋_GB2312" w:hAnsi="仿宋_GB2312" w:eastAsia="仿宋_GB2312" w:cs="仿宋_GB2312"/>
          <w:sz w:val="32"/>
          <w:szCs w:val="32"/>
        </w:rPr>
        <w:t>下一步改进措施：</w:t>
      </w:r>
      <w:r>
        <w:rPr>
          <w:rFonts w:hint="eastAsia" w:eastAsia="仿宋"/>
          <w:color w:val="000000"/>
          <w:sz w:val="32"/>
          <w:szCs w:val="32"/>
          <w:shd w:val="clear" w:color="auto" w:fill="FFFFFF"/>
        </w:rPr>
        <w:t>在工作中根据不断出现的新情况和发现的新问题，逐步完善项目绩效评价管理体系，进一步提高项目绩效管理水平</w:t>
      </w:r>
      <w:r>
        <w:rPr>
          <w:rFonts w:hint="eastAsia" w:ascii="仿宋_GB2312" w:hAnsi="仿宋_GB2312" w:eastAsia="仿宋_GB2312" w:cs="仿宋_GB2312"/>
          <w:sz w:val="32"/>
          <w:szCs w:val="32"/>
        </w:rPr>
        <w:t>。</w:t>
      </w: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tbl>
      <w:tblPr>
        <w:tblStyle w:val="8"/>
        <w:tblW w:w="9867" w:type="dxa"/>
        <w:tblInd w:w="0" w:type="dxa"/>
        <w:shd w:val="clear" w:color="auto" w:fill="auto"/>
        <w:tblLayout w:type="fixed"/>
        <w:tblCellMar>
          <w:top w:w="0" w:type="dxa"/>
          <w:left w:w="0" w:type="dxa"/>
          <w:bottom w:w="0" w:type="dxa"/>
          <w:right w:w="0" w:type="dxa"/>
        </w:tblCellMar>
      </w:tblPr>
      <w:tblGrid>
        <w:gridCol w:w="1215"/>
        <w:gridCol w:w="1035"/>
        <w:gridCol w:w="1155"/>
        <w:gridCol w:w="1245"/>
        <w:gridCol w:w="1410"/>
        <w:gridCol w:w="1080"/>
        <w:gridCol w:w="1080"/>
        <w:gridCol w:w="1647"/>
      </w:tblGrid>
      <w:tr>
        <w:tblPrEx>
          <w:shd w:val="clear" w:color="auto" w:fill="auto"/>
          <w:tblCellMar>
            <w:top w:w="0" w:type="dxa"/>
            <w:left w:w="0" w:type="dxa"/>
            <w:bottom w:w="0" w:type="dxa"/>
            <w:right w:w="0" w:type="dxa"/>
          </w:tblCellMar>
        </w:tblPrEx>
        <w:trPr>
          <w:trHeight w:val="510" w:hRule="atLeast"/>
        </w:trPr>
        <w:tc>
          <w:tcPr>
            <w:tcW w:w="9867"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9867"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121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190"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高邑县红十字会</w:t>
            </w:r>
          </w:p>
        </w:tc>
        <w:tc>
          <w:tcPr>
            <w:tcW w:w="124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47"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shd w:val="clear" w:color="auto" w:fill="auto"/>
          <w:tblCellMar>
            <w:top w:w="0" w:type="dxa"/>
            <w:left w:w="0" w:type="dxa"/>
            <w:bottom w:w="0" w:type="dxa"/>
            <w:right w:w="0" w:type="dxa"/>
          </w:tblCellMar>
        </w:tblPrEx>
        <w:trPr>
          <w:trHeight w:val="820"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w:t>
            </w:r>
            <w:r>
              <w:rPr>
                <w:rStyle w:val="13"/>
                <w:rFonts w:eastAsia="宋体"/>
                <w:lang w:val="en-US" w:eastAsia="zh-CN" w:bidi="ar"/>
              </w:rPr>
              <w:t xml:space="preserve"> </w:t>
            </w:r>
            <w:r>
              <w:rPr>
                <w:rFonts w:hint="eastAsia" w:ascii="宋体" w:hAnsi="宋体" w:eastAsia="宋体" w:cs="宋体"/>
                <w:i w:val="0"/>
                <w:color w:val="000000"/>
                <w:kern w:val="0"/>
                <w:sz w:val="22"/>
                <w:szCs w:val="22"/>
                <w:u w:val="none"/>
                <w:lang w:val="en-US" w:eastAsia="zh-CN" w:bidi="ar"/>
              </w:rPr>
              <w:t>基本情况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应急救护培训</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8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高邑县红十字会</w:t>
            </w:r>
          </w:p>
        </w:tc>
      </w:tr>
      <w:tr>
        <w:tblPrEx>
          <w:shd w:val="clear" w:color="auto" w:fill="auto"/>
          <w:tblCellMar>
            <w:top w:w="0" w:type="dxa"/>
            <w:left w:w="0" w:type="dxa"/>
            <w:bottom w:w="0" w:type="dxa"/>
            <w:right w:w="0" w:type="dxa"/>
          </w:tblCellMar>
        </w:tblPrEx>
        <w:trPr>
          <w:trHeight w:val="60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二、预算执行情况</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6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6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shd w:val="clear" w:color="auto" w:fill="auto"/>
          <w:tblCellMar>
            <w:top w:w="0" w:type="dxa"/>
            <w:left w:w="0" w:type="dxa"/>
            <w:bottom w:w="0" w:type="dxa"/>
            <w:right w:w="0" w:type="dxa"/>
          </w:tblCellMar>
        </w:tblPrEx>
        <w:trPr>
          <w:trHeight w:val="10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6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2"/>
                <w:szCs w:val="22"/>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三、目标完成情况</w:t>
            </w:r>
          </w:p>
        </w:tc>
        <w:tc>
          <w:tcPr>
            <w:tcW w:w="34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6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4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积极推动应急救护培训进社区、学校、机关，不断提高应急救护知识普及率。重点对消防、教育、卫生等易发生伤害邻域和行业开展应急培训。</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已完成</w:t>
            </w:r>
          </w:p>
        </w:tc>
        <w:tc>
          <w:tcPr>
            <w:tcW w:w="16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11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66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w:t>
            </w:r>
            <w:r>
              <w:rPr>
                <w:rStyle w:val="13"/>
                <w:rFonts w:eastAsia="宋体"/>
                <w:lang w:val="en-US" w:eastAsia="zh-CN" w:bidi="ar"/>
              </w:rPr>
              <w:t xml:space="preserve"> </w:t>
            </w:r>
            <w:r>
              <w:rPr>
                <w:rFonts w:hint="eastAsia" w:ascii="宋体" w:hAnsi="宋体" w:eastAsia="宋体" w:cs="宋体"/>
                <w:i w:val="0"/>
                <w:color w:val="000000"/>
                <w:kern w:val="0"/>
                <w:sz w:val="22"/>
                <w:szCs w:val="22"/>
                <w:u w:val="none"/>
                <w:lang w:val="en-US" w:eastAsia="zh-CN" w:bidi="ar"/>
              </w:rPr>
              <w:t>年度绩效指标完成情况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5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6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shd w:val="clear" w:color="auto" w:fill="auto"/>
          <w:tblCellMar>
            <w:top w:w="0" w:type="dxa"/>
            <w:left w:w="0" w:type="dxa"/>
            <w:bottom w:w="0" w:type="dxa"/>
            <w:right w:w="0" w:type="dxa"/>
          </w:tblCellMar>
        </w:tblPrEx>
        <w:trPr>
          <w:trHeight w:val="11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vMerge w:val="restar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产出指标（40分）</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数量指标(20分)</w:t>
            </w:r>
          </w:p>
        </w:tc>
        <w:tc>
          <w:tcPr>
            <w:tcW w:w="265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培训人数）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357</w:t>
            </w:r>
          </w:p>
        </w:tc>
        <w:tc>
          <w:tcPr>
            <w:tcW w:w="16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shd w:val="clear" w:color="auto" w:fill="auto"/>
          <w:tblCellMar>
            <w:top w:w="0" w:type="dxa"/>
            <w:left w:w="0" w:type="dxa"/>
            <w:bottom w:w="0" w:type="dxa"/>
            <w:right w:w="0" w:type="dxa"/>
          </w:tblCellMar>
        </w:tblPrEx>
        <w:trPr>
          <w:trHeight w:val="11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时效指标（20分）</w:t>
            </w:r>
          </w:p>
        </w:tc>
        <w:tc>
          <w:tcPr>
            <w:tcW w:w="265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培训计划按期完成率（%）</w:t>
            </w:r>
          </w:p>
        </w:tc>
        <w:tc>
          <w:tcPr>
            <w:tcW w:w="10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≥95%为优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w:t>
            </w:r>
          </w:p>
        </w:tc>
        <w:tc>
          <w:tcPr>
            <w:tcW w:w="16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CellMar>
            <w:top w:w="0" w:type="dxa"/>
            <w:left w:w="0" w:type="dxa"/>
            <w:bottom w:w="0" w:type="dxa"/>
            <w:right w:w="0" w:type="dxa"/>
          </w:tblCellMar>
        </w:tblPrEx>
        <w:trPr>
          <w:trHeight w:val="13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预算执行率(10分)</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财政投入</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16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r>
      <w:tr>
        <w:tblPrEx>
          <w:tblCellMar>
            <w:top w:w="0" w:type="dxa"/>
            <w:left w:w="0" w:type="dxa"/>
            <w:bottom w:w="0" w:type="dxa"/>
            <w:right w:w="0" w:type="dxa"/>
          </w:tblCellMar>
        </w:tblPrEx>
        <w:trPr>
          <w:trHeight w:val="108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15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社会效益指标(40分)</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培训覆盖人数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接受应急救护培训受益人数300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接受应急救护培训受益人数300</w:t>
            </w:r>
          </w:p>
        </w:tc>
        <w:tc>
          <w:tcPr>
            <w:tcW w:w="16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w:t>
            </w:r>
          </w:p>
        </w:tc>
      </w:tr>
      <w:tr>
        <w:tblPrEx>
          <w:tblCellMar>
            <w:top w:w="0" w:type="dxa"/>
            <w:left w:w="0" w:type="dxa"/>
            <w:bottom w:w="0" w:type="dxa"/>
            <w:right w:w="0" w:type="dxa"/>
          </w:tblCellMar>
        </w:tblPrEx>
        <w:trPr>
          <w:trHeight w:val="81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5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　(10分)</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受培训学员满意度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参加培训学员满意度80%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参加培训学员满意度76%</w:t>
            </w:r>
          </w:p>
        </w:tc>
        <w:tc>
          <w:tcPr>
            <w:tcW w:w="16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6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98</w:t>
            </w:r>
          </w:p>
        </w:tc>
      </w:tr>
      <w:tr>
        <w:tblPrEx>
          <w:tblCellMar>
            <w:top w:w="0" w:type="dxa"/>
            <w:left w:w="0" w:type="dxa"/>
            <w:bottom w:w="0" w:type="dxa"/>
            <w:right w:w="0" w:type="dxa"/>
          </w:tblCellMar>
        </w:tblPrEx>
        <w:trPr>
          <w:trHeight w:val="1320"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w:t>
            </w:r>
            <w:r>
              <w:rPr>
                <w:rStyle w:val="13"/>
                <w:rFonts w:eastAsia="宋体"/>
                <w:lang w:val="en-US" w:eastAsia="zh-CN" w:bidi="ar"/>
              </w:rPr>
              <w:t xml:space="preserve"> </w:t>
            </w:r>
            <w:r>
              <w:rPr>
                <w:rFonts w:hint="eastAsia" w:ascii="宋体" w:hAnsi="宋体" w:eastAsia="宋体" w:cs="宋体"/>
                <w:i w:val="0"/>
                <w:color w:val="000000"/>
                <w:kern w:val="0"/>
                <w:sz w:val="22"/>
                <w:szCs w:val="22"/>
                <w:u w:val="none"/>
                <w:lang w:val="en-US" w:eastAsia="zh-CN" w:bidi="ar"/>
              </w:rPr>
              <w:t>存在问题、原因及下一步整改措施</w:t>
            </w:r>
          </w:p>
        </w:tc>
        <w:tc>
          <w:tcPr>
            <w:tcW w:w="865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pPr>
    </w:p>
    <w:tbl>
      <w:tblPr>
        <w:tblStyle w:val="8"/>
        <w:tblW w:w="97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76"/>
        <w:gridCol w:w="1005"/>
        <w:gridCol w:w="1119"/>
        <w:gridCol w:w="1204"/>
        <w:gridCol w:w="1360"/>
        <w:gridCol w:w="1050"/>
        <w:gridCol w:w="1363"/>
        <w:gridCol w:w="15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790"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9790"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2020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17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124"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高邑县红十字会</w:t>
            </w:r>
          </w:p>
        </w:tc>
        <w:tc>
          <w:tcPr>
            <w:tcW w:w="1204" w:type="dxa"/>
            <w:shd w:val="clear" w:color="auto" w:fill="auto"/>
            <w:vAlign w:val="center"/>
          </w:tcPr>
          <w:p>
            <w:pPr>
              <w:jc w:val="center"/>
              <w:rPr>
                <w:rFonts w:hint="eastAsia" w:ascii="宋体" w:hAnsi="宋体" w:eastAsia="宋体" w:cs="宋体"/>
                <w:i w:val="0"/>
                <w:color w:val="000000"/>
                <w:sz w:val="22"/>
                <w:szCs w:val="22"/>
                <w:u w:val="none"/>
              </w:rPr>
            </w:pPr>
          </w:p>
        </w:tc>
        <w:tc>
          <w:tcPr>
            <w:tcW w:w="1360" w:type="dxa"/>
            <w:shd w:val="clear" w:color="auto" w:fill="auto"/>
            <w:vAlign w:val="center"/>
          </w:tcPr>
          <w:p>
            <w:pPr>
              <w:jc w:val="center"/>
              <w:rPr>
                <w:rFonts w:hint="eastAsia" w:ascii="宋体" w:hAnsi="宋体" w:eastAsia="宋体" w:cs="宋体"/>
                <w:i w:val="0"/>
                <w:color w:val="000000"/>
                <w:sz w:val="22"/>
                <w:szCs w:val="22"/>
                <w:u w:val="none"/>
              </w:rPr>
            </w:pPr>
          </w:p>
        </w:tc>
        <w:tc>
          <w:tcPr>
            <w:tcW w:w="1050" w:type="dxa"/>
            <w:shd w:val="clear" w:color="auto" w:fill="auto"/>
            <w:vAlign w:val="center"/>
          </w:tcPr>
          <w:p>
            <w:pPr>
              <w:jc w:val="center"/>
              <w:rPr>
                <w:rFonts w:hint="eastAsia" w:ascii="宋体" w:hAnsi="宋体" w:eastAsia="宋体" w:cs="宋体"/>
                <w:i w:val="0"/>
                <w:color w:val="000000"/>
                <w:sz w:val="22"/>
                <w:szCs w:val="22"/>
                <w:u w:val="none"/>
              </w:rPr>
            </w:pPr>
          </w:p>
        </w:tc>
        <w:tc>
          <w:tcPr>
            <w:tcW w:w="1363" w:type="dxa"/>
            <w:shd w:val="clear" w:color="auto" w:fill="auto"/>
            <w:vAlign w:val="center"/>
          </w:tcPr>
          <w:p>
            <w:pPr>
              <w:jc w:val="center"/>
              <w:rPr>
                <w:rFonts w:hint="eastAsia" w:ascii="宋体" w:hAnsi="宋体" w:eastAsia="宋体" w:cs="宋体"/>
                <w:i w:val="0"/>
                <w:color w:val="000000"/>
                <w:sz w:val="22"/>
                <w:szCs w:val="22"/>
                <w:u w:val="none"/>
              </w:rPr>
            </w:pPr>
          </w:p>
        </w:tc>
        <w:tc>
          <w:tcPr>
            <w:tcW w:w="15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10" w:hRule="atLeast"/>
        </w:trPr>
        <w:tc>
          <w:tcPr>
            <w:tcW w:w="1176"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w:t>
            </w:r>
            <w:r>
              <w:rPr>
                <w:rStyle w:val="15"/>
                <w:rFonts w:eastAsia="宋体"/>
                <w:lang w:val="en-US" w:eastAsia="zh-CN" w:bidi="ar"/>
              </w:rPr>
              <w:t xml:space="preserve"> </w:t>
            </w:r>
            <w:r>
              <w:rPr>
                <w:rStyle w:val="16"/>
                <w:lang w:val="en-US" w:eastAsia="zh-CN" w:bidi="ar"/>
              </w:rPr>
              <w:t>基本情况</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备灾救灾备用金</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9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高邑县红十字会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二、预算执行情况</w:t>
            </w:r>
          </w:p>
        </w:tc>
        <w:tc>
          <w:tcPr>
            <w:tcW w:w="21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4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26" w:hRule="atLeast"/>
        </w:trPr>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color w:val="000000"/>
                <w:sz w:val="22"/>
                <w:szCs w:val="22"/>
                <w:u w:val="none"/>
              </w:rPr>
            </w:pPr>
          </w:p>
        </w:tc>
        <w:tc>
          <w:tcPr>
            <w:tcW w:w="12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三、目标完成情况</w:t>
            </w:r>
          </w:p>
        </w:tc>
        <w:tc>
          <w:tcPr>
            <w:tcW w:w="33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年度预期目标</w:t>
            </w:r>
          </w:p>
        </w:tc>
        <w:tc>
          <w:tcPr>
            <w:tcW w:w="37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20" w:hRule="atLeast"/>
        </w:trPr>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332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有一定备灾救灾资金，做好应急救援；确保备灾救灾金入库工作</w:t>
            </w:r>
          </w:p>
        </w:tc>
        <w:tc>
          <w:tcPr>
            <w:tcW w:w="377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已完成</w:t>
            </w:r>
          </w:p>
        </w:tc>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332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7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2" w:hRule="atLeast"/>
        </w:trPr>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332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2"/>
                <w:szCs w:val="22"/>
                <w:u w:val="none"/>
              </w:rPr>
            </w:pPr>
          </w:p>
        </w:tc>
        <w:tc>
          <w:tcPr>
            <w:tcW w:w="37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176"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w:t>
            </w:r>
            <w:r>
              <w:rPr>
                <w:rStyle w:val="15"/>
                <w:rFonts w:eastAsia="宋体"/>
                <w:lang w:val="en-US" w:eastAsia="zh-CN" w:bidi="ar"/>
              </w:rPr>
              <w:t xml:space="preserve"> </w:t>
            </w:r>
            <w:r>
              <w:rPr>
                <w:rStyle w:val="16"/>
                <w:lang w:val="en-US" w:eastAsia="zh-CN" w:bidi="ar"/>
              </w:rPr>
              <w:t>年度绩效指标完成情况</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1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06" w:hRule="atLeast"/>
        </w:trPr>
        <w:tc>
          <w:tcPr>
            <w:tcW w:w="1176"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产出指标（40分）</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数量指标(40分)</w:t>
            </w:r>
          </w:p>
        </w:tc>
        <w:tc>
          <w:tcPr>
            <w:tcW w:w="2564" w:type="dxa"/>
            <w:gridSpan w:val="2"/>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备灾救灾金入库工作　</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13" w:hRule="atLeast"/>
        </w:trPr>
        <w:tc>
          <w:tcPr>
            <w:tcW w:w="1176"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19"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预算执行率(10分)</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财政投入</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80" w:hRule="atLeast"/>
        </w:trPr>
        <w:tc>
          <w:tcPr>
            <w:tcW w:w="1176"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005" w:type="dxa"/>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119"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社会效益指标(40分)</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应急救助率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得到救助占符合条件应救助达到85%</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得到救助占符合条件应救助达到80%</w:t>
            </w: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44" w:hRule="atLeast"/>
        </w:trPr>
        <w:tc>
          <w:tcPr>
            <w:tcW w:w="1176"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19"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　(10分)</w:t>
            </w:r>
          </w:p>
        </w:tc>
        <w:tc>
          <w:tcPr>
            <w:tcW w:w="1204"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360" w:type="dxa"/>
            <w:tcBorders>
              <w:top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群众满意度90％</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r>
              <w:rPr>
                <w:rStyle w:val="15"/>
                <w:rFonts w:eastAsia="宋体"/>
                <w:lang w:val="en-US" w:eastAsia="zh-CN" w:bidi="ar"/>
              </w:rPr>
              <w:t>90%</w:t>
            </w: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76"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710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34" w:hRule="atLeast"/>
        </w:trPr>
        <w:tc>
          <w:tcPr>
            <w:tcW w:w="1176"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w:t>
            </w:r>
            <w:r>
              <w:rPr>
                <w:rStyle w:val="15"/>
                <w:rFonts w:eastAsia="宋体"/>
                <w:lang w:val="en-US" w:eastAsia="zh-CN" w:bidi="ar"/>
              </w:rPr>
              <w:t xml:space="preserve"> </w:t>
            </w:r>
            <w:r>
              <w:rPr>
                <w:rStyle w:val="16"/>
                <w:lang w:val="en-US" w:eastAsia="zh-CN" w:bidi="ar"/>
              </w:rPr>
              <w:t>存在问题、原因及下一步整改措施</w:t>
            </w:r>
          </w:p>
        </w:tc>
        <w:tc>
          <w:tcPr>
            <w:tcW w:w="861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7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00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于立珍</w:t>
            </w:r>
          </w:p>
        </w:tc>
        <w:tc>
          <w:tcPr>
            <w:tcW w:w="1119" w:type="dxa"/>
            <w:shd w:val="clear" w:color="auto" w:fill="auto"/>
            <w:vAlign w:val="center"/>
          </w:tcPr>
          <w:p>
            <w:pPr>
              <w:jc w:val="center"/>
              <w:rPr>
                <w:rFonts w:hint="eastAsia" w:ascii="宋体" w:hAnsi="宋体" w:eastAsia="宋体" w:cs="宋体"/>
                <w:i w:val="0"/>
                <w:color w:val="000000"/>
                <w:sz w:val="22"/>
                <w:szCs w:val="22"/>
                <w:u w:val="none"/>
              </w:rPr>
            </w:pPr>
          </w:p>
        </w:tc>
        <w:tc>
          <w:tcPr>
            <w:tcW w:w="1204" w:type="dxa"/>
            <w:shd w:val="clear" w:color="auto" w:fill="auto"/>
            <w:vAlign w:val="center"/>
          </w:tcPr>
          <w:p>
            <w:pPr>
              <w:jc w:val="center"/>
              <w:rPr>
                <w:rFonts w:hint="eastAsia" w:ascii="宋体" w:hAnsi="宋体" w:eastAsia="宋体" w:cs="宋体"/>
                <w:i w:val="0"/>
                <w:color w:val="000000"/>
                <w:sz w:val="22"/>
                <w:szCs w:val="22"/>
                <w:u w:val="none"/>
              </w:rPr>
            </w:pPr>
          </w:p>
        </w:tc>
        <w:tc>
          <w:tcPr>
            <w:tcW w:w="1360" w:type="dxa"/>
            <w:shd w:val="clear" w:color="auto" w:fill="auto"/>
            <w:vAlign w:val="center"/>
          </w:tcPr>
          <w:p>
            <w:pPr>
              <w:jc w:val="center"/>
              <w:rPr>
                <w:rFonts w:hint="eastAsia" w:ascii="宋体" w:hAnsi="宋体" w:eastAsia="宋体" w:cs="宋体"/>
                <w:i w:val="0"/>
                <w:color w:val="000000"/>
                <w:sz w:val="22"/>
                <w:szCs w:val="22"/>
                <w:u w:val="none"/>
              </w:rPr>
            </w:pPr>
          </w:p>
        </w:tc>
        <w:tc>
          <w:tcPr>
            <w:tcW w:w="1050" w:type="dxa"/>
            <w:shd w:val="clear" w:color="auto" w:fill="auto"/>
            <w:vAlign w:val="center"/>
          </w:tcPr>
          <w:p>
            <w:pPr>
              <w:jc w:val="center"/>
              <w:rPr>
                <w:rFonts w:hint="eastAsia" w:ascii="宋体" w:hAnsi="宋体" w:eastAsia="宋体" w:cs="宋体"/>
                <w:i w:val="0"/>
                <w:color w:val="000000"/>
                <w:sz w:val="22"/>
                <w:szCs w:val="22"/>
                <w:u w:val="none"/>
              </w:rPr>
            </w:pPr>
          </w:p>
        </w:tc>
        <w:tc>
          <w:tcPr>
            <w:tcW w:w="136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5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84029519</w:t>
            </w:r>
          </w:p>
        </w:tc>
      </w:tr>
    </w:tbl>
    <w:p>
      <w:pPr>
        <w:keepNext/>
        <w:keepLines/>
        <w:numPr>
          <w:ilvl w:val="0"/>
          <w:numId w:val="0"/>
        </w:numPr>
        <w:snapToGrid w:val="0"/>
        <w:spacing w:line="580" w:lineRule="exact"/>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bCs/>
          <w:sz w:val="32"/>
          <w:szCs w:val="32"/>
          <w:lang w:eastAsia="zh-CN"/>
        </w:rPr>
        <w:t>（三）</w:t>
      </w:r>
      <w:r>
        <w:rPr>
          <w:rFonts w:hint="eastAsia" w:ascii="仿宋_GB2312" w:hAnsi="仿宋_GB2312" w:eastAsia="仿宋_GB2312" w:cs="仿宋_GB2312"/>
          <w:b/>
          <w:bCs/>
          <w:sz w:val="32"/>
          <w:szCs w:val="32"/>
        </w:rPr>
        <w:t>财政评价项目绩效评价结果</w:t>
      </w:r>
    </w:p>
    <w:p>
      <w:pPr>
        <w:ind w:firstLine="640" w:firstLineChars="200"/>
        <w:rPr>
          <w:rFonts w:hint="eastAsia" w:ascii="黑体" w:hAnsi="黑体" w:eastAsia="黑体" w:cs="黑体"/>
          <w:sz w:val="32"/>
          <w:szCs w:val="32"/>
        </w:rPr>
      </w:pPr>
      <w:r>
        <w:rPr>
          <w:rFonts w:hint="eastAsia" w:ascii="仿宋" w:hAnsi="仿宋" w:eastAsia="仿宋" w:cs="仿宋"/>
          <w:sz w:val="32"/>
          <w:szCs w:val="32"/>
        </w:rPr>
        <w:t>根据财政评价项目绩效报告，将项目绩效评价结果与绩效评价表进行公开。</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万元，比2019年度增加(减少)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万元，增长（降低）</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无此类支出</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lang w:eastAsia="zh-CN"/>
        </w:rPr>
        <w:t>八</w:t>
      </w:r>
      <w:r>
        <w:rPr>
          <w:rFonts w:hint="eastAsia" w:ascii="黑体" w:hAnsi="黑体" w:eastAsia="黑体" w:cs="黑体"/>
          <w:sz w:val="32"/>
          <w:szCs w:val="32"/>
        </w:rPr>
        <w:t>、政府采购情况</w:t>
      </w:r>
    </w:p>
    <w:p>
      <w:pPr>
        <w:snapToGrid w:val="0"/>
        <w:spacing w:line="580" w:lineRule="exact"/>
        <w:ind w:firstLine="640" w:firstLineChars="200"/>
        <w:jc w:val="left"/>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t>九、</w:t>
      </w:r>
      <w:r>
        <w:rPr>
          <w:rFonts w:hint="eastAsia" w:ascii="楷体_GB2312" w:hAnsi="Times New Roman" w:eastAsia="楷体_GB2312" w:cs="DengXian-Bold"/>
          <w:b/>
          <w:bCs/>
          <w:sz w:val="32"/>
          <w:szCs w:val="32"/>
        </w:rPr>
        <w:t>国有资产占用情况</w:t>
      </w:r>
    </w:p>
    <w:p>
      <w:pPr>
        <w:adjustRightInd w:val="0"/>
        <w:snapToGrid w:val="0"/>
        <w:spacing w:line="580" w:lineRule="exact"/>
        <w:ind w:firstLine="640" w:firstLineChars="200"/>
        <w:rPr>
          <w:rFonts w:hint="eastAsia" w:ascii="仿宋" w:hAnsi="仿宋" w:eastAsia="仿宋" w:cs="仿宋"/>
          <w:b w:val="0"/>
          <w:bCs w:val="0"/>
          <w:kern w:val="2"/>
          <w:sz w:val="32"/>
          <w:szCs w:val="32"/>
          <w:lang w:val="en-US" w:eastAsia="zh-CN" w:bidi="ar-SA"/>
        </w:rPr>
      </w:pPr>
      <w:r>
        <w:rPr>
          <w:rFonts w:hint="eastAsia" w:ascii="仿宋_GB2312" w:hAnsi="Times New Roman" w:eastAsia="仿宋_GB2312" w:cs="DengXian-Regular"/>
          <w:sz w:val="32"/>
          <w:szCs w:val="32"/>
        </w:rPr>
        <w:t>截至20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辆。其中，</w:t>
      </w:r>
      <w:r>
        <w:rPr>
          <w:rFonts w:hint="eastAsia" w:ascii="仿宋" w:hAnsi="仿宋" w:eastAsia="仿宋" w:cs="仿宋"/>
          <w:b w:val="0"/>
          <w:bCs w:val="0"/>
          <w:kern w:val="2"/>
          <w:sz w:val="32"/>
          <w:szCs w:val="32"/>
          <w:lang w:val="en-US" w:eastAsia="zh-CN" w:bidi="ar-SA"/>
        </w:rPr>
        <w:t>一般公务用车1辆被收回。</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t>十</w:t>
      </w:r>
      <w:bookmarkStart w:id="0" w:name="_GoBack"/>
      <w:bookmarkEnd w:id="0"/>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 w:hAnsi="仿宋" w:eastAsia="仿宋" w:cs="仿宋"/>
          <w:sz w:val="32"/>
          <w:szCs w:val="32"/>
        </w:rPr>
        <w:t>本部门20</w:t>
      </w:r>
      <w:r>
        <w:rPr>
          <w:rFonts w:hint="eastAsia" w:ascii="仿宋" w:hAnsi="仿宋" w:eastAsia="仿宋" w:cs="仿宋"/>
          <w:sz w:val="32"/>
          <w:szCs w:val="32"/>
          <w:lang w:val="en-US" w:eastAsia="zh-CN"/>
        </w:rPr>
        <w:t>20</w:t>
      </w:r>
      <w:r>
        <w:rPr>
          <w:rFonts w:hint="eastAsia" w:ascii="仿宋" w:hAnsi="仿宋" w:eastAsia="仿宋" w:cs="仿宋"/>
          <w:sz w:val="32"/>
          <w:szCs w:val="32"/>
        </w:rPr>
        <w:t>年度</w:t>
      </w:r>
      <w:r>
        <w:rPr>
          <w:rFonts w:hint="eastAsia" w:ascii="仿宋" w:hAnsi="仿宋" w:eastAsia="仿宋" w:cs="仿宋"/>
          <w:sz w:val="32"/>
          <w:szCs w:val="32"/>
          <w:lang w:eastAsia="zh-CN"/>
        </w:rPr>
        <w:t>未发生政府性基金预算财政</w:t>
      </w:r>
      <w:r>
        <w:rPr>
          <w:rFonts w:hint="eastAsia" w:ascii="仿宋" w:hAnsi="仿宋" w:eastAsia="仿宋" w:cs="仿宋"/>
          <w:sz w:val="32"/>
          <w:szCs w:val="32"/>
          <w:lang w:val="en-US" w:eastAsia="zh-CN"/>
        </w:rPr>
        <w:t>拨款、国有资本经营预算收支及结转结余情况，</w:t>
      </w:r>
      <w:r>
        <w:rPr>
          <w:rFonts w:hint="eastAsia" w:ascii="仿宋" w:hAnsi="仿宋" w:eastAsia="仿宋" w:cs="仿宋"/>
          <w:sz w:val="32"/>
          <w:szCs w:val="32"/>
        </w:rPr>
        <w:t>故</w:t>
      </w:r>
      <w:r>
        <w:rPr>
          <w:rFonts w:hint="eastAsia" w:ascii="仿宋" w:hAnsi="仿宋" w:eastAsia="仿宋" w:cs="仿宋"/>
          <w:sz w:val="32"/>
          <w:szCs w:val="32"/>
          <w:lang w:val="en-US" w:eastAsia="zh-CN"/>
        </w:rPr>
        <w:t>公开8表、公开9</w:t>
      </w:r>
      <w:r>
        <w:rPr>
          <w:rFonts w:hint="eastAsia" w:ascii="仿宋" w:hAnsi="仿宋" w:eastAsia="仿宋" w:cs="仿宋"/>
          <w:sz w:val="32"/>
          <w:szCs w:val="32"/>
        </w:rPr>
        <w:t>表以空表列示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0288;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CXbtHtgAAAALAQAADwAA&#10;AAAAAAABACAAAAAiAAAAZHJzL2Rvd25yZXYueG1sUEsBAhQAFAAAAAgAh07iQMGdnwmIAgAATAUA&#10;AA4AAAAAAAAAAQAgAAAAJwEAAGRycy9lMm9Eb2MueG1sUEsFBgAAAAAGAAYAWQEAACEGAAAAAA==&#10;">
                <v:fill type="pattern" on="t" color2="#FFFFFF [3212]" o:title="5%" focussize="0,0" r:id="rId13"/>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4384"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4384;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ANhBuPcAAAADQEAAA8AAAAAAAAAAQAgAAAAIgAAAGRycy9kb3du&#10;cmV2LnhtbFBLAQIUABQAAAAIAIdO4kAJY6zCpgIAAKkFAAAOAAAAAAAAAAEAIAAAACsBAABkcnMv&#10;ZTJvRG9jLnhtbFBLBQYAAAAABgAGAFkBAABDBgAAAAA=&#10;">
                <v:fill type="pattern" on="t" color2="#FFFFFF" o:title="5%" focussize="0,0" r:id="rId13"/>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3360;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DengXian-Bold">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c5OTI3MTcwN2NmOWRmNWZlYTgwMzNhNWRiMTMyYzkifQ=="/>
  </w:docVars>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217C2"/>
    <w:rsid w:val="00FD5E00"/>
    <w:rsid w:val="041A6459"/>
    <w:rsid w:val="06585F98"/>
    <w:rsid w:val="0826414A"/>
    <w:rsid w:val="0D390B07"/>
    <w:rsid w:val="0EA325C9"/>
    <w:rsid w:val="0EE17C1A"/>
    <w:rsid w:val="0F871F0A"/>
    <w:rsid w:val="0FE53E2B"/>
    <w:rsid w:val="12FC0E99"/>
    <w:rsid w:val="136441FE"/>
    <w:rsid w:val="15416605"/>
    <w:rsid w:val="16E86172"/>
    <w:rsid w:val="181800A9"/>
    <w:rsid w:val="18E60A68"/>
    <w:rsid w:val="1F6369DB"/>
    <w:rsid w:val="212C607F"/>
    <w:rsid w:val="22E46C89"/>
    <w:rsid w:val="2506788D"/>
    <w:rsid w:val="262829F7"/>
    <w:rsid w:val="27723884"/>
    <w:rsid w:val="2C273AF5"/>
    <w:rsid w:val="2E773AF5"/>
    <w:rsid w:val="32082916"/>
    <w:rsid w:val="323F40E6"/>
    <w:rsid w:val="34C45458"/>
    <w:rsid w:val="35C83C42"/>
    <w:rsid w:val="36E33F7E"/>
    <w:rsid w:val="37445DC3"/>
    <w:rsid w:val="3CBB7AAA"/>
    <w:rsid w:val="42654BCC"/>
    <w:rsid w:val="4BA031BF"/>
    <w:rsid w:val="554C2AD4"/>
    <w:rsid w:val="58AA4F23"/>
    <w:rsid w:val="5B7A5EE2"/>
    <w:rsid w:val="60154311"/>
    <w:rsid w:val="64D206EA"/>
    <w:rsid w:val="66C81C4A"/>
    <w:rsid w:val="695B26FD"/>
    <w:rsid w:val="6AF77BA8"/>
    <w:rsid w:val="6B000328"/>
    <w:rsid w:val="6E2A0889"/>
    <w:rsid w:val="71CE4E94"/>
    <w:rsid w:val="73D824BD"/>
    <w:rsid w:val="74CD281C"/>
    <w:rsid w:val="764B3663"/>
    <w:rsid w:val="78F810D4"/>
    <w:rsid w:val="79E3365B"/>
    <w:rsid w:val="7CD93915"/>
    <w:rsid w:val="7F742B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99"/>
    <w:pPr>
      <w:spacing w:before="100" w:beforeAutospacing="1"/>
      <w:ind w:firstLine="420" w:firstLineChars="200"/>
    </w:pPr>
  </w:style>
  <w:style w:type="paragraph" w:styleId="3">
    <w:name w:val="Body Text Indent"/>
    <w:basedOn w:val="1"/>
    <w:qFormat/>
    <w:uiPriority w:val="99"/>
    <w:pPr>
      <w:spacing w:after="120"/>
      <w:ind w:left="420" w:leftChars="200"/>
    </w:pPr>
  </w:style>
  <w:style w:type="paragraph" w:styleId="5">
    <w:name w:val="Balloon Text"/>
    <w:basedOn w:val="1"/>
    <w:link w:val="12"/>
    <w:qFormat/>
    <w:uiPriority w:val="0"/>
    <w:rPr>
      <w:sz w:val="18"/>
      <w:szCs w:val="18"/>
    </w:rPr>
  </w:style>
  <w:style w:type="paragraph" w:styleId="6">
    <w:name w:val="footer"/>
    <w:basedOn w:val="1"/>
    <w:unhideWhenUsed/>
    <w:qFormat/>
    <w:uiPriority w:val="99"/>
    <w:pPr>
      <w:tabs>
        <w:tab w:val="center" w:pos="4153"/>
        <w:tab w:val="right" w:pos="8306"/>
      </w:tabs>
      <w:snapToGrid w:val="0"/>
      <w:jc w:val="left"/>
    </w:pPr>
    <w:rPr>
      <w:sz w:val="18"/>
      <w:szCs w:val="18"/>
    </w:rPr>
  </w:style>
  <w:style w:type="paragraph" w:styleId="7">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List Paragraph"/>
    <w:basedOn w:val="1"/>
    <w:unhideWhenUsed/>
    <w:qFormat/>
    <w:uiPriority w:val="99"/>
    <w:pPr>
      <w:ind w:firstLine="420" w:firstLineChars="200"/>
    </w:pPr>
  </w:style>
  <w:style w:type="character" w:customStyle="1" w:styleId="12">
    <w:name w:val="批注框文本 Char"/>
    <w:basedOn w:val="10"/>
    <w:link w:val="5"/>
    <w:qFormat/>
    <w:uiPriority w:val="0"/>
    <w:rPr>
      <w:rFonts w:asciiTheme="minorHAnsi" w:hAnsiTheme="minorHAnsi" w:eastAsiaTheme="minorEastAsia" w:cstheme="minorBidi"/>
      <w:kern w:val="2"/>
      <w:sz w:val="18"/>
      <w:szCs w:val="18"/>
    </w:rPr>
  </w:style>
  <w:style w:type="character" w:customStyle="1" w:styleId="13">
    <w:name w:val="font21"/>
    <w:basedOn w:val="10"/>
    <w:qFormat/>
    <w:uiPriority w:val="0"/>
    <w:rPr>
      <w:rFonts w:ascii="Calibri" w:hAnsi="Calibri" w:cs="Calibri"/>
      <w:color w:val="000000"/>
      <w:sz w:val="22"/>
      <w:szCs w:val="22"/>
      <w:u w:val="none"/>
    </w:rPr>
  </w:style>
  <w:style w:type="character" w:customStyle="1" w:styleId="14">
    <w:name w:val="font61"/>
    <w:basedOn w:val="10"/>
    <w:qFormat/>
    <w:uiPriority w:val="0"/>
    <w:rPr>
      <w:rFonts w:hint="eastAsia" w:ascii="宋体" w:hAnsi="宋体" w:eastAsia="宋体" w:cs="宋体"/>
      <w:color w:val="000000"/>
      <w:sz w:val="22"/>
      <w:szCs w:val="22"/>
      <w:u w:val="none"/>
    </w:rPr>
  </w:style>
  <w:style w:type="character" w:customStyle="1" w:styleId="15">
    <w:name w:val="font11"/>
    <w:basedOn w:val="10"/>
    <w:qFormat/>
    <w:uiPriority w:val="0"/>
    <w:rPr>
      <w:rFonts w:ascii="Calibri" w:hAnsi="Calibri" w:cs="Calibri"/>
      <w:color w:val="000000"/>
      <w:sz w:val="22"/>
      <w:szCs w:val="22"/>
      <w:u w:val="none"/>
    </w:rPr>
  </w:style>
  <w:style w:type="character" w:customStyle="1" w:styleId="16">
    <w:name w:val="font51"/>
    <w:basedOn w:val="10"/>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2.bmp"/><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Microsoft%20Excel%20&#24037;&#20316;&#34920;%20(4).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Microsoft%20Excel%20&#24037;&#20316;&#34920;%20(4).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6032;&#24314;%20Microsoft%20Excel%20&#24037;&#20316;&#34920;%20(4).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6032;&#24314;%20Microsoft%20Excel%20&#24037;&#20316;&#34920;%20(4).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dministrator\Desktop\&#26032;&#24314;%20Microsoft%20Excel%20&#24037;&#20316;&#34920;%20(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elete val="1"/>
          </c:dLbls>
          <c:cat>
            <c:strRef>
              <c:f>'[新建 Microsoft Excel 工作表 (4).xlsx]Sheet1'!$A$4:$A$5</c:f>
              <c:strCache>
                <c:ptCount val="2"/>
                <c:pt idx="0">
                  <c:v>2019年决算收支</c:v>
                </c:pt>
                <c:pt idx="1">
                  <c:v>2020年决算收支</c:v>
                </c:pt>
              </c:strCache>
            </c:strRef>
          </c:cat>
          <c:val>
            <c:numRef>
              <c:f>'[新建 Microsoft Excel 工作表 (4).xlsx]Sheet1'!$B$4:$B$5</c:f>
              <c:numCache>
                <c:formatCode>General</c:formatCode>
                <c:ptCount val="2"/>
                <c:pt idx="0">
                  <c:v>36.9</c:v>
                </c:pt>
                <c:pt idx="1">
                  <c:v>39.65</c:v>
                </c:pt>
              </c:numCache>
            </c:numRef>
          </c:val>
        </c:ser>
        <c:dLbls>
          <c:showLegendKey val="0"/>
          <c:showVal val="0"/>
          <c:showCatName val="0"/>
          <c:showSerName val="0"/>
          <c:showPercent val="0"/>
          <c:showBubbleSize val="0"/>
        </c:dLbls>
        <c:gapWidth val="219"/>
        <c:overlap val="-27"/>
        <c:axId val="976839762"/>
        <c:axId val="748728483"/>
      </c:barChart>
      <c:catAx>
        <c:axId val="97683976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8728483"/>
        <c:crosses val="autoZero"/>
        <c:auto val="1"/>
        <c:lblAlgn val="ctr"/>
        <c:lblOffset val="100"/>
        <c:noMultiLvlLbl val="0"/>
      </c:catAx>
      <c:valAx>
        <c:axId val="7487284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7683976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(4).xlsx]Sheet1'!$A$5:$A$6</c:f>
              <c:strCache>
                <c:ptCount val="2"/>
                <c:pt idx="0">
                  <c:v>基本支出</c:v>
                </c:pt>
                <c:pt idx="1">
                  <c:v>项目支出</c:v>
                </c:pt>
              </c:strCache>
            </c:strRef>
          </c:cat>
          <c:val>
            <c:numRef>
              <c:f>'[新建 Microsoft Excel 工作表 (4).xlsx]Sheet1'!$B$5:$B$6</c:f>
              <c:numCache>
                <c:formatCode>0%</c:formatCode>
                <c:ptCount val="2"/>
                <c:pt idx="0">
                  <c:v>0.95</c:v>
                </c:pt>
                <c:pt idx="1">
                  <c:v>0.05</c:v>
                </c:pt>
              </c:numCache>
            </c:numRef>
          </c:val>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elete val="1"/>
          </c:dLbls>
          <c:cat>
            <c:strRef>
              <c:f>'[新建 Microsoft Excel 工作表 (4).xlsx]Sheet1'!$A$5:$A$8</c:f>
              <c:strCache>
                <c:ptCount val="4"/>
                <c:pt idx="0">
                  <c:v>2019年财政拨款收入</c:v>
                </c:pt>
                <c:pt idx="1">
                  <c:v>2019年财政拨款支出</c:v>
                </c:pt>
                <c:pt idx="2">
                  <c:v>2020年财政拨款收入</c:v>
                </c:pt>
                <c:pt idx="3">
                  <c:v>2020年财政拨款支出</c:v>
                </c:pt>
              </c:strCache>
            </c:strRef>
          </c:cat>
          <c:val>
            <c:numRef>
              <c:f>'[新建 Microsoft Excel 工作表 (4).xlsx]Sheet1'!$B$5:$B$8</c:f>
              <c:numCache>
                <c:formatCode>General</c:formatCode>
                <c:ptCount val="4"/>
                <c:pt idx="0">
                  <c:v>35.54</c:v>
                </c:pt>
                <c:pt idx="1">
                  <c:v>36.64</c:v>
                </c:pt>
                <c:pt idx="2">
                  <c:v>39.65</c:v>
                </c:pt>
                <c:pt idx="3">
                  <c:v>39.65</c:v>
                </c:pt>
              </c:numCache>
            </c:numRef>
          </c:val>
        </c:ser>
        <c:dLbls>
          <c:showLegendKey val="0"/>
          <c:showVal val="0"/>
          <c:showCatName val="0"/>
          <c:showSerName val="0"/>
          <c:showPercent val="0"/>
          <c:showBubbleSize val="0"/>
        </c:dLbls>
        <c:gapWidth val="219"/>
        <c:overlap val="-27"/>
        <c:axId val="634134261"/>
        <c:axId val="200911120"/>
      </c:barChart>
      <c:catAx>
        <c:axId val="63413426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0911120"/>
        <c:crosses val="autoZero"/>
        <c:auto val="1"/>
        <c:lblAlgn val="ctr"/>
        <c:lblOffset val="100"/>
        <c:noMultiLvlLbl val="0"/>
      </c:catAx>
      <c:valAx>
        <c:axId val="200911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3413426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elete val="1"/>
          </c:dLbls>
          <c:cat>
            <c:strRef>
              <c:f>'[新建 Microsoft Excel 工作表 (4).xlsx]Sheet1'!$A$5:$A$6</c:f>
              <c:strCache>
                <c:ptCount val="2"/>
                <c:pt idx="0">
                  <c:v>2020年预算收支</c:v>
                </c:pt>
                <c:pt idx="1">
                  <c:v>2020年决算支出</c:v>
                </c:pt>
              </c:strCache>
            </c:strRef>
          </c:cat>
          <c:val>
            <c:numRef>
              <c:f>'[新建 Microsoft Excel 工作表 (4).xlsx]Sheet1'!$B$5:$B$6</c:f>
              <c:numCache>
                <c:formatCode>General</c:formatCode>
                <c:ptCount val="2"/>
                <c:pt idx="0">
                  <c:v>62.62</c:v>
                </c:pt>
                <c:pt idx="1">
                  <c:v>39.65</c:v>
                </c:pt>
              </c:numCache>
            </c:numRef>
          </c:val>
        </c:ser>
        <c:dLbls>
          <c:showLegendKey val="0"/>
          <c:showVal val="0"/>
          <c:showCatName val="0"/>
          <c:showSerName val="0"/>
          <c:showPercent val="0"/>
          <c:showBubbleSize val="0"/>
        </c:dLbls>
        <c:gapWidth val="219"/>
        <c:overlap val="-27"/>
        <c:axId val="634134261"/>
        <c:axId val="200911120"/>
      </c:barChart>
      <c:catAx>
        <c:axId val="63413426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0911120"/>
        <c:crosses val="autoZero"/>
        <c:auto val="1"/>
        <c:lblAlgn val="ctr"/>
        <c:lblOffset val="100"/>
        <c:noMultiLvlLbl val="0"/>
      </c:catAx>
      <c:valAx>
        <c:axId val="200911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3413426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(4).xlsx]Sheet1'!$A$5:$A$7</c:f>
              <c:strCache>
                <c:ptCount val="3"/>
                <c:pt idx="0">
                  <c:v>社会保障和就业支出</c:v>
                </c:pt>
                <c:pt idx="1">
                  <c:v>住房保障支出</c:v>
                </c:pt>
                <c:pt idx="2">
                  <c:v>卫生健康支出</c:v>
                </c:pt>
              </c:strCache>
            </c:strRef>
          </c:cat>
          <c:val>
            <c:numRef>
              <c:f>'[新建 Microsoft Excel 工作表 (4).xlsx]Sheet1'!$B$5:$B$7</c:f>
              <c:numCache>
                <c:formatCode>0.00%</c:formatCode>
                <c:ptCount val="3"/>
                <c:pt idx="0">
                  <c:v>0.8343</c:v>
                </c:pt>
                <c:pt idx="1">
                  <c:v>0.1125</c:v>
                </c:pt>
                <c:pt idx="2">
                  <c:v>0.0532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5231</Words>
  <Characters>5607</Characters>
  <Lines>83</Lines>
  <Paragraphs>23</Paragraphs>
  <TotalTime>0</TotalTime>
  <ScaleCrop>false</ScaleCrop>
  <LinksUpToDate>false</LinksUpToDate>
  <CharactersWithSpaces>5672</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欢欢</cp:lastModifiedBy>
  <cp:lastPrinted>2021-08-26T06:52:00Z</cp:lastPrinted>
  <dcterms:modified xsi:type="dcterms:W3CDTF">2022-09-06T01:20:52Z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65FA352BAB5146309CB066C800874C19</vt:lpwstr>
  </property>
</Properties>
</file>