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黑体" w:hAnsi="宋体" w:eastAsia="黑体" w:cs="黑体"/>
          <w:i w:val="0"/>
          <w:iCs w:val="0"/>
          <w:color w:val="000000"/>
          <w:kern w:val="0"/>
          <w:sz w:val="32"/>
          <w:szCs w:val="32"/>
          <w:u w:val="none"/>
          <w:lang w:val="en-US" w:eastAsia="zh-CN" w:bidi="ar"/>
        </w:rPr>
      </w:pPr>
      <w:r>
        <w:rPr>
          <w:rFonts w:hint="eastAsia" w:ascii="黑体" w:hAnsi="宋体" w:eastAsia="黑体" w:cs="黑体"/>
          <w:i w:val="0"/>
          <w:iCs w:val="0"/>
          <w:color w:val="000000"/>
          <w:kern w:val="0"/>
          <w:sz w:val="32"/>
          <w:szCs w:val="32"/>
          <w:u w:val="none"/>
          <w:lang w:val="en-US" w:eastAsia="zh-CN" w:bidi="ar"/>
        </w:rPr>
        <w:t>附件1</w:t>
      </w:r>
    </w:p>
    <w:p>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center"/>
        <w:rPr>
          <w:rFonts w:hint="default" w:ascii="黑体" w:hAnsi="宋体" w:eastAsia="黑体" w:cs="黑体"/>
          <w:i w:val="0"/>
          <w:iCs w:val="0"/>
          <w:color w:val="000000"/>
          <w:kern w:val="0"/>
          <w:sz w:val="32"/>
          <w:szCs w:val="32"/>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right="0" w:rightChars="0" w:firstLine="0" w:firstLineChars="0"/>
        <w:jc w:val="center"/>
        <w:textAlignment w:val="center"/>
        <w:rPr>
          <w:rFonts w:hint="eastAsia" w:ascii="方正小标宋简体" w:hAnsi="方正小标宋简体" w:eastAsia="方正小标宋简体" w:cs="方正小标宋简体"/>
          <w:i w:val="0"/>
          <w:iCs w:val="0"/>
          <w:color w:val="000000"/>
          <w:kern w:val="0"/>
          <w:sz w:val="44"/>
          <w:szCs w:val="44"/>
          <w:u w:val="none"/>
          <w:lang w:val="en-US" w:eastAsia="zh-CN" w:bidi="ar"/>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中央层面设定的县级涉企经营许可事项改革清单（2021年全国版）</w:t>
      </w:r>
    </w:p>
    <w:p>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center"/>
        <w:rPr>
          <w:rFonts w:hint="eastAsia" w:ascii="方正小标宋简体" w:hAnsi="方正小标宋简体" w:eastAsia="方正小标宋简体" w:cs="方正小标宋简体"/>
          <w:i w:val="0"/>
          <w:iCs w:val="0"/>
          <w:color w:val="000000"/>
          <w:kern w:val="0"/>
          <w:sz w:val="44"/>
          <w:szCs w:val="44"/>
          <w:u w:val="none"/>
          <w:lang w:val="en-US" w:eastAsia="zh-CN" w:bidi="ar"/>
        </w:rPr>
      </w:pPr>
    </w:p>
    <w:tbl>
      <w:tblPr>
        <w:tblStyle w:val="2"/>
        <w:tblW w:w="14394" w:type="dxa"/>
        <w:jc w:val="center"/>
        <w:shd w:val="clear" w:color="auto" w:fill="auto"/>
        <w:tblLayout w:type="fixed"/>
        <w:tblCellMar>
          <w:top w:w="0" w:type="dxa"/>
          <w:left w:w="108" w:type="dxa"/>
          <w:bottom w:w="0" w:type="dxa"/>
          <w:right w:w="108" w:type="dxa"/>
        </w:tblCellMar>
      </w:tblPr>
      <w:tblGrid>
        <w:gridCol w:w="649"/>
        <w:gridCol w:w="1016"/>
        <w:gridCol w:w="1296"/>
        <w:gridCol w:w="1033"/>
        <w:gridCol w:w="794"/>
        <w:gridCol w:w="1066"/>
        <w:gridCol w:w="893"/>
        <w:gridCol w:w="893"/>
        <w:gridCol w:w="893"/>
        <w:gridCol w:w="893"/>
        <w:gridCol w:w="1103"/>
        <w:gridCol w:w="1620"/>
        <w:gridCol w:w="1179"/>
        <w:gridCol w:w="1066"/>
      </w:tblGrid>
      <w:tr>
        <w:tblPrEx>
          <w:shd w:val="clear" w:color="auto" w:fill="auto"/>
          <w:tblCellMar>
            <w:top w:w="0" w:type="dxa"/>
            <w:left w:w="108" w:type="dxa"/>
            <w:bottom w:w="0" w:type="dxa"/>
            <w:right w:w="108" w:type="dxa"/>
          </w:tblCellMar>
        </w:tblPrEx>
        <w:trPr>
          <w:trHeight w:val="283" w:hRule="atLeast"/>
          <w:tblHeader/>
          <w:jc w:val="center"/>
        </w:trPr>
        <w:tc>
          <w:tcPr>
            <w:tcW w:w="6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序号</w:t>
            </w:r>
          </w:p>
        </w:tc>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主管部门</w:t>
            </w:r>
          </w:p>
        </w:tc>
        <w:tc>
          <w:tcPr>
            <w:tcW w:w="12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改革事项</w:t>
            </w:r>
          </w:p>
        </w:tc>
        <w:tc>
          <w:tcPr>
            <w:tcW w:w="10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许可证件名称</w:t>
            </w: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kern w:val="0"/>
                <w:sz w:val="18"/>
                <w:szCs w:val="18"/>
                <w:u w:val="none"/>
                <w:lang w:val="en-US" w:eastAsia="zh-CN" w:bidi="ar"/>
              </w:rPr>
            </w:pPr>
            <w:r>
              <w:rPr>
                <w:rFonts w:hint="eastAsia" w:ascii="黑体" w:hAnsi="宋体" w:eastAsia="黑体" w:cs="黑体"/>
                <w:i w:val="0"/>
                <w:iCs w:val="0"/>
                <w:color w:val="000000"/>
                <w:kern w:val="0"/>
                <w:sz w:val="18"/>
                <w:szCs w:val="18"/>
                <w:u w:val="none"/>
                <w:lang w:val="en-US" w:eastAsia="zh-CN" w:bidi="ar"/>
              </w:rPr>
              <w:t>设定</w:t>
            </w:r>
          </w:p>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依据</w:t>
            </w:r>
          </w:p>
        </w:tc>
        <w:tc>
          <w:tcPr>
            <w:tcW w:w="10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审批层级和部门</w:t>
            </w:r>
          </w:p>
        </w:tc>
        <w:tc>
          <w:tcPr>
            <w:tcW w:w="35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改革方式</w:t>
            </w:r>
          </w:p>
        </w:tc>
        <w:tc>
          <w:tcPr>
            <w:tcW w:w="11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具体改革举措</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加强事中事后监管措施</w:t>
            </w:r>
          </w:p>
        </w:tc>
        <w:tc>
          <w:tcPr>
            <w:tcW w:w="11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kern w:val="0"/>
                <w:sz w:val="18"/>
                <w:szCs w:val="18"/>
                <w:u w:val="none"/>
                <w:lang w:val="en-US" w:eastAsia="zh-CN" w:bidi="ar"/>
              </w:rPr>
            </w:pPr>
            <w:r>
              <w:rPr>
                <w:rFonts w:hint="eastAsia" w:ascii="黑体" w:hAnsi="宋体" w:eastAsia="黑体" w:cs="黑体"/>
                <w:i w:val="0"/>
                <w:iCs w:val="0"/>
                <w:color w:val="000000"/>
                <w:kern w:val="0"/>
                <w:sz w:val="18"/>
                <w:szCs w:val="18"/>
                <w:u w:val="none"/>
                <w:lang w:val="en-US" w:eastAsia="zh-CN" w:bidi="ar"/>
              </w:rPr>
              <w:t>事项审批</w:t>
            </w:r>
          </w:p>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部门</w:t>
            </w:r>
          </w:p>
        </w:tc>
        <w:tc>
          <w:tcPr>
            <w:tcW w:w="10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备注</w:t>
            </w:r>
          </w:p>
        </w:tc>
      </w:tr>
      <w:tr>
        <w:tblPrEx>
          <w:tblCellMar>
            <w:top w:w="0" w:type="dxa"/>
            <w:left w:w="108" w:type="dxa"/>
            <w:bottom w:w="0" w:type="dxa"/>
            <w:right w:w="108" w:type="dxa"/>
          </w:tblCellMar>
        </w:tblPrEx>
        <w:trPr>
          <w:trHeight w:val="283" w:hRule="atLeast"/>
          <w:tblHeader/>
          <w:jc w:val="center"/>
        </w:trPr>
        <w:tc>
          <w:tcPr>
            <w:tcW w:w="6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黑体" w:hAnsi="宋体" w:eastAsia="黑体" w:cs="黑体"/>
                <w:i w:val="0"/>
                <w:iCs w:val="0"/>
                <w:color w:val="000000"/>
                <w:sz w:val="18"/>
                <w:szCs w:val="18"/>
                <w:u w:val="none"/>
              </w:rPr>
            </w:pPr>
          </w:p>
        </w:tc>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黑体" w:hAnsi="宋体" w:eastAsia="黑体" w:cs="黑体"/>
                <w:i w:val="0"/>
                <w:iCs w:val="0"/>
                <w:color w:val="000000"/>
                <w:sz w:val="18"/>
                <w:szCs w:val="18"/>
                <w:u w:val="none"/>
              </w:rPr>
            </w:pPr>
          </w:p>
        </w:tc>
        <w:tc>
          <w:tcPr>
            <w:tcW w:w="12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黑体" w:hAnsi="宋体" w:eastAsia="黑体" w:cs="黑体"/>
                <w:i w:val="0"/>
                <w:iCs w:val="0"/>
                <w:color w:val="000000"/>
                <w:sz w:val="18"/>
                <w:szCs w:val="18"/>
                <w:u w:val="none"/>
              </w:rPr>
            </w:pPr>
          </w:p>
        </w:tc>
        <w:tc>
          <w:tcPr>
            <w:tcW w:w="10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rPr>
                <w:rFonts w:hint="eastAsia" w:ascii="黑体" w:hAnsi="宋体" w:eastAsia="黑体" w:cs="黑体"/>
                <w:i w:val="0"/>
                <w:iCs w:val="0"/>
                <w:color w:val="000000"/>
                <w:sz w:val="18"/>
                <w:szCs w:val="18"/>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黑体" w:hAnsi="宋体" w:eastAsia="黑体" w:cs="黑体"/>
                <w:i w:val="0"/>
                <w:iCs w:val="0"/>
                <w:color w:val="000000"/>
                <w:sz w:val="18"/>
                <w:szCs w:val="18"/>
                <w:u w:val="none"/>
              </w:rPr>
            </w:pPr>
          </w:p>
        </w:tc>
        <w:tc>
          <w:tcPr>
            <w:tcW w:w="10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黑体" w:hAnsi="宋体" w:eastAsia="黑体" w:cs="黑体"/>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直接取消审批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审批改为备案</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实行告知承诺</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优化审批服务</w:t>
            </w:r>
          </w:p>
        </w:tc>
        <w:tc>
          <w:tcPr>
            <w:tcW w:w="11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黑体" w:hAnsi="宋体" w:eastAsia="黑体" w:cs="黑体"/>
                <w:i w:val="0"/>
                <w:iCs w:val="0"/>
                <w:color w:val="000000"/>
                <w:sz w:val="18"/>
                <w:szCs w:val="18"/>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黑体" w:hAnsi="宋体" w:eastAsia="黑体" w:cs="黑体"/>
                <w:i w:val="0"/>
                <w:iCs w:val="0"/>
                <w:color w:val="000000"/>
                <w:sz w:val="18"/>
                <w:szCs w:val="18"/>
                <w:u w:val="none"/>
              </w:rPr>
            </w:pP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rPr>
                <w:rFonts w:hint="eastAsia" w:ascii="黑体" w:hAnsi="宋体" w:eastAsia="黑体" w:cs="黑体"/>
                <w:i w:val="0"/>
                <w:iCs w:val="0"/>
                <w:color w:val="000000"/>
                <w:sz w:val="18"/>
                <w:szCs w:val="18"/>
                <w:u w:val="none"/>
              </w:rPr>
            </w:pPr>
          </w:p>
        </w:tc>
        <w:tc>
          <w:tcPr>
            <w:tcW w:w="10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黑体" w:hAnsi="宋体" w:eastAsia="黑体" w:cs="黑体"/>
                <w:i w:val="0"/>
                <w:iCs w:val="0"/>
                <w:color w:val="000000"/>
                <w:sz w:val="18"/>
                <w:szCs w:val="18"/>
                <w:u w:val="none"/>
              </w:rPr>
            </w:pPr>
          </w:p>
        </w:tc>
      </w:tr>
      <w:tr>
        <w:tblPrEx>
          <w:tblCellMar>
            <w:top w:w="0" w:type="dxa"/>
            <w:left w:w="108" w:type="dxa"/>
            <w:bottom w:w="0" w:type="dxa"/>
            <w:right w:w="108" w:type="dxa"/>
          </w:tblCellMar>
        </w:tblPrEx>
        <w:trPr>
          <w:wAfter w:w="0" w:type="auto"/>
          <w:trHeight w:val="432" w:hRule="atLeast"/>
          <w:jc w:val="center"/>
        </w:trPr>
        <w:tc>
          <w:tcPr>
            <w:tcW w:w="14394" w:type="dxa"/>
            <w:gridSpan w:val="14"/>
            <w:tcBorders>
              <w:top w:val="nil"/>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both"/>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一、直接取消审批（13）</w:t>
            </w:r>
          </w:p>
        </w:tc>
      </w:tr>
      <w:tr>
        <w:tblPrEx>
          <w:tblCellMar>
            <w:top w:w="0" w:type="dxa"/>
            <w:left w:w="108" w:type="dxa"/>
            <w:bottom w:w="0" w:type="dxa"/>
            <w:right w:w="108" w:type="dxa"/>
          </w:tblCellMar>
        </w:tblPrEx>
        <w:trPr>
          <w:trHeight w:val="562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公安部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典当业特种行业许可证核发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典当业特种行业许可证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《国务院对确需保留的行政审批项目设定行政许可的决定》</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县级以上地方公安机关</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取消“典当业特种行业许可证核发”。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加强部门间信息共享，省级地方金融监管部门在实施“设立典当行及分支机构审批”后及时将有关信息推送至公安机关，公安机关及时将典当行及其分支机构纳入监管范围。2.开展“双随机、一公开”监管，发现违法违规行为要依法查处并公开结果。</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公安局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拖拉机驾驶培训学校、驾驶培训班资格认定</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拖拉机驾驶培训许可证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《中华人民共和国道路交通安全法》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省级农业农村部门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取消“拖拉机驾驶培训学校、驾驶培训班资格认定”。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修订拖拉机驾驶培训教材，在培训环节强化驾驶员安全教育。2.加强教练员队伍建设和管理，推动拖拉机培训机构建立培训记录、提高培训水平。3.严把拖拉机驾驶证件考试关口，完善考试大纲，严肃考试纪律，确保持证人员掌握驾驶技能和道路安全法规知识。4.农业农村部门、公安机关依照法定职责加强对拖拉机的驾驶安全管理，依法查处违规驾驶行为。</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水产良种场的水产苗种生产许可证核发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水产苗种生产许可证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《中华人民共和国渔业法》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省级农业农村（渔业）部门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不再保留水产良种场类别原有良种场纳入一般水产苗种场管理，不再实施特别的管理措施。</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1.开展“双随机、一公开”监管，发现违法违规行为要依法查处。2.对风险等级高、投诉举报多的企业实施重点监管。3.依法及时处理投诉举报，处理结果依法向社会公开并记入企业信用记录。</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国家卫生健康委</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诊所设置审批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无</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《医疗机构管理条例》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县级以上地方卫生健康部门或行政审批局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开办诊所不再向卫生健康部门或行政审批局申请办理设置审批，直接办理诊所执业备案。</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完善医疗服务监管信息系统，要求诊所将诊疗信息及时上传信息系统。2.加强监督管理，根据相关管理规定，发现问题依法严肃处理。3.将诊所执业状况记入诊所主要负责人个人诚信记录，强化信用约束。4.向社会公开诊所有关信息和医师、护士注册信息，加强行业自律和社会监督。</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国家卫生健康委</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计划生育技术服务机构设立许可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计划生育技术服务机构执业许可证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《计划生育技术服务管理条例》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县级以上地方卫生健康部门或行政审批局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取消“计划生育技术服务机构设立许可”，纳入“母婴保健专项技术服务许可”进行统一审批管理。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1.加强监督管理，发现违法违规行为要依法查处并公开结果。2.加强信用监管，将计划生育技术服务机构执业状况记入信用记录并依法向社会公布。3.依法及时处理投诉举报。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7766"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国家卫生健康委</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部分医疗机构（除三级医院、三级妇幼保健院、急救中心、急救站、临床检验中心、中外合资合作医疗机构、港澳台独资医疗机构外）《设置医疗机构批准书》核发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设置医疗机构批准书</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《医疗机构管理条例》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县级以上地方卫生健康部门或行政审批局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除三级医院、三级妇幼保健院、急救中心、急救站、临床检验中心、中外合资合作医疗机构、港澳台独资医疗机构外，举办其他医疗机构，不再申请办理《设置医疗机构批准书》，在执业登记时发放《医疗机构执业许可证》。</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1.对医疗机构开展定期校验，加强对医疗机构执业活动的监管，发现违法违规行为要依法查处并公开结果。2.组织开展医疗机构评审。3.依法及时处理投诉举报。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卫健局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7</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市场监管总局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广告发布登记</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关于准予广告发布登记的通知书</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《中华人民共和国广告法》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县级以上地方市场监管部门或行政审批局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取消“广告发布登记”。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1.加大广告监测力度，发现广告发布机构发布虚假违法广告要依法查处。2.加强协同监管，联合有关部门共同做好广告发布机构监管工作。</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8</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国家林草局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在草原上开展经营性旅游活动审批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草原作业许可证（草原经营性旅游活动）</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《中华人民共和国草原法》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县级以上地方林草部门或行政审批局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取消“在草原上开展经营性旅游活动审批”。</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开展“双随机、一公开”监管，在草原征占用行为监管过程中，一并对有关经营性旅游活动进行检查，发现违法违规行为要依法查处并公开结果。</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自然资源和规划局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9</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国家林草局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林草种子（林木良种苗木）生产经营许可证核发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林草种子生产经营许可证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《中华人民共和国种子法》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省级林草部门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待全国人大常委会完成法律修改程序后，不再保留林木良种苗木类别，原有林木良种苗木纳入一般林木种苗管理，不再实施特别的管理措施。</w:t>
            </w:r>
          </w:p>
        </w:tc>
        <w:tc>
          <w:tcPr>
            <w:tcW w:w="16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1.开展“双随机、一公开”监管，发现违法违规行为要依法查处并公开结果。2.加强信用监管，建立企业信用档案并依法公开，依法依规对失信主体开展失信惩戒。3.发挥行业协会自律作用。</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自然资源和规划局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县级审核，省级核发</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国家林草局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林草种子（选育生产经营相结合单位）生产经营许可证核发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林草种子生产经营许可证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《中华人民共和国种子法》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省级林草部门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待全国人大常委会完成法律修改程序后，不再保留林草种子选育生产经营相结合单位类别，原有单位纳入一般林草种子生产经营企业管理，不再实施特别的管理措施。</w:t>
            </w:r>
          </w:p>
        </w:tc>
        <w:tc>
          <w:tcPr>
            <w:tcW w:w="16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1.开展“双随机、一公开”监管，发现违法违规行为要依法查处并公开结果。2.加强信用监管，建立企业信用档案并依法公开，依法依规对失信主体开展失信惩戒。3.发挥行业协会自律作用。</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自然资源和规划局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县级审核，省级核发</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国家文物局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文物保护工程勘察设计丙级资质审批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文物保护工程勘察设计资质证书</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《中华人民共和国文物保护法》《中华人民共和国文物保护法实施条例》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省级文物部门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将文物保护工程勘察设计资质由三级调整为两级，取消丙级资质，相应调整乙级资质的许可条件。</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1.依法及时处理投诉举报。2.加强对文物保护工程实施单位的日常监督管理，针对发现的普遍性和突出问题开展专项检查。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文旅局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市、县按职责权限进行初审和审核</w:t>
            </w:r>
          </w:p>
        </w:tc>
      </w:tr>
      <w:tr>
        <w:tblPrEx>
          <w:tblCellMar>
            <w:top w:w="0" w:type="dxa"/>
            <w:left w:w="108" w:type="dxa"/>
            <w:bottom w:w="0" w:type="dxa"/>
            <w:right w:w="108" w:type="dxa"/>
          </w:tblCellMar>
        </w:tblPrEx>
        <w:trPr>
          <w:trHeight w:val="7838"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国家文物局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文物保护工程施工三级资质审批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文物保护工程施工资质证书</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《中华人民共和国文物保护法》《中华人民共和国文物保护法实施条例》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省级文物部门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将文物保护工程施工单位资质由三级调整为两级，取消三级资质，相应调整二级资质的许可条件。2.对尚未核定公布为文物保护单位的不可移动文物的保养维护工程、抢险加固工程、修缮工程，取消对施工单位资质的限定要求。</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1.依法及时处理投诉举报。2.加强对文物保护工程实施单位的日常监督管理，针对发现的普遍性和突出问题开展专项检查。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文旅局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市、县按职责权限进行初审和审核</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国家文物局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文物保护工程监理丙级资质审批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文物保护工程监理资质证书</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《中华人民共和国文物保护法》《中华人民共和国文物保护法实施条例》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省级文物部门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将文物保护工程监理单位资质由三级调整为两级，取消丙级资质，相应调整乙级资质的许可条件。2.对尚未核定公布为文物保护单位的不可移动文物的保养维护工程、抢险加固工程、修缮工程，取消对监理单位资质的限定要求。</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1.依法及时处理投诉举报。2.加强对文物保护工程实施单位的日常监督管理，针对发现的普遍性和突出问题开展专项检查。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文旅局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市、县按职责权限进行初审和审核</w:t>
            </w:r>
          </w:p>
        </w:tc>
      </w:tr>
      <w:tr>
        <w:tblPrEx>
          <w:tblCellMar>
            <w:top w:w="0" w:type="dxa"/>
            <w:left w:w="108" w:type="dxa"/>
            <w:bottom w:w="0" w:type="dxa"/>
            <w:right w:w="108" w:type="dxa"/>
          </w:tblCellMar>
        </w:tblPrEx>
        <w:trPr>
          <w:wAfter w:w="0" w:type="auto"/>
          <w:trHeight w:val="600" w:hRule="atLeast"/>
          <w:jc w:val="center"/>
        </w:trPr>
        <w:tc>
          <w:tcPr>
            <w:tcW w:w="14394" w:type="dxa"/>
            <w:gridSpan w:val="14"/>
            <w:tcBorders>
              <w:top w:val="nil"/>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both"/>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二、审批改为备案（5）</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交通运输部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机动车驾驶员培训许可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道路运输经营许可证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《中华人民共和国道路交通安全法》《中华人民共和国道路运输条例》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县级交通运输部门或行政审批局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取消“机动车驾驶员培训许可”，改为备案管理。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健全信用管理制度，强化对驾驶培训机构和教练员的信用监管。2.加强与公安、市场监管部门的信息共享，实施跨部门联合监管。3.开展“双随机、一公开”监管，对培训学时造假等违法违规行为依法查处并公开结果。4.严厉打击虚假备案行为，对弄虚作假的培训机构依法予以处理，情节严重的实行行业禁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交通局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裕华区、桥西区、长安区、新华区无交通管理部门，由市级负责审批</w:t>
            </w:r>
          </w:p>
        </w:tc>
      </w:tr>
      <w:tr>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商务部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对外贸易经营者备案登记</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对外贸易经营者备案登记表</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《中华人民共和国对外贸易法》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县级以上地方商务部门或行政审批局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取消对外贸易经营者的许可准入管理，改为备案管理。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等事中事后监管，发现违法违规行为要依法查处并公开结果，对严重违法违规的企业要依法联合实施市场禁入措施。2.加强信用监管，建立经营主体信用记录，依法依规实施失信惩戒。3.支持行业协会发挥自律作用。</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发改局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791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国家卫生健康委</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诊所执业登记</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医疗机构执业许可证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《医疗机构管理条例》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县级以上地方卫生健康部门或行政审批局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取消对诊所执业的许可准入管理，改为备案管理。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建立健全诊所备案制度，及时将备案诊所纳入医疗质量控制体系。加强对未备案行为的监管。2.完善医疗服务监管信息系统，要求诊所将诊疗信息及时上传信息系统。3.加强监督管理，根据相关管理规定，发现问题依法严肃处理。4.依法将诊所执业状况记入诊所主要负责人个人诚信记录，强化信用约束。5.向社会公开诊所备案信息和医师、护士注册信息，加强行业自律和社会监督。</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7992"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17</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市场监管总局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食品经营许可（仅销售预包装食品）</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食品经营许可证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《中华人民共和国食品安全法》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县级以上地方市场监管部门或行政审批局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1.对仅销售预包装食品的企业，取消食品经营许可，改为备案管理。2.将“食品经营备案（仅销售预包装食品）”纳入“多证合一”范围，在企业登记注册环节一并办理备案手续。</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对备案企业加强监督检查，重点检查备案信息与实际情况是否相符、备案企业是否经营预包装食品以外的其他食品，依法严厉打击违规经营行为。2.加强食品销售风险分级管理和信用监管，将虚假备案、违规经营等信息记入企业食品安全信用记录，依法依规对失信主体开展失信惩戒，依法查处违法违规行为。3.畅通投诉举报渠道，强化社会监督。</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18</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国家粮食和储备局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粮食收购资格认定</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粮食收购许可证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《粮食流通管理条例》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企业办理登记注册的市场监管部门同级的粮食和储备部门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取消“粮食收购资格认定”，改为备案管理。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通过“双随机、一公开”监管、重点监管等方式，依法查处违法违规企业。2.加强信用监管，依法向社会公布企业信用状况，依法依规对失信主体开展失信惩戒。3.严厉打击弄虚作假行为，对弄虚作假的企业依法予以处理。</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wAfter w:w="0" w:type="auto"/>
          <w:trHeight w:val="624" w:hRule="atLeast"/>
          <w:jc w:val="center"/>
        </w:trPr>
        <w:tc>
          <w:tcPr>
            <w:tcW w:w="14394" w:type="dxa"/>
            <w:gridSpan w:val="14"/>
            <w:tcBorders>
              <w:top w:val="nil"/>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both"/>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三、实行告知承诺（14）</w:t>
            </w:r>
          </w:p>
        </w:tc>
      </w:tr>
      <w:tr>
        <w:tblPrEx>
          <w:tblCellMar>
            <w:top w:w="0" w:type="dxa"/>
            <w:left w:w="108" w:type="dxa"/>
            <w:bottom w:w="0" w:type="dxa"/>
            <w:right w:w="108" w:type="dxa"/>
          </w:tblCellMar>
        </w:tblPrEx>
        <w:trPr>
          <w:trHeight w:val="4238"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19</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公安部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旅馆业特种行业许可证核发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旅馆业特种行业许可证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《国务院对确需保留的行政审批项目设定行政许可的决定》《旅馆业治安管理办法》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县级以上地方公安机关</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1.加强对承诺内容真实性的核查，发现虚假承诺、承诺严重不实的要依法处理。2.开展“双随机、一公开”监管，依法查处违法违规行为。</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公安局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公安部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公章刻制业特种行业许可证核发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公章刻制业特种行业许可证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《国务院对确需保留的行政审批项目设定行政许可的决定》《印铸刻字业暂行管理规则》</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设区的市、县级公安机关</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加强对承诺内容真实性的核查，发现虚假承诺、承诺严重不实的要依法处理。2.开展“双随机、一公开”监管，依法查处违法违规行为。3.加强公章刻制备案管理，督促公章刻制企业严格落实公章刻制备案管理要求，及时规范上传、报送公章刻制备案信息。</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公安局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406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公安部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互联网上网服务营业场所信息网络安全审核</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批准文件</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《互联网上网服务营业场所管理条例》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省、设区的市、县级公安机关</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加强对承诺内容真实性的核查，发现虚假承诺、承诺严重不实的要依法处理。2.开展“双随机、一公开”监管，依法查处违法违规行为。3.加强信用监管，建立从业人员信用记录，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公安局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已下放，依据：石公信安发〔2009〕13号</w:t>
            </w:r>
          </w:p>
        </w:tc>
      </w:tr>
      <w:tr>
        <w:tblPrEx>
          <w:tblCellMar>
            <w:top w:w="0" w:type="dxa"/>
            <w:left w:w="108" w:type="dxa"/>
            <w:bottom w:w="0" w:type="dxa"/>
            <w:right w:w="108" w:type="dxa"/>
          </w:tblCellMar>
        </w:tblPrEx>
        <w:trPr>
          <w:trHeight w:val="795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财政部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中介机构从事代理记账业务审批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代理记账许可证书</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《中华人民共和国会计法》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县级以上地方财政部门或行政审批局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对以告知承诺方式取得代理记账资格的中介机构，在一定期限内进行全覆盖检查，加强对其承诺内容真实性的核查，发现虚假承诺或承诺严重不实的要依法处理。2.开展“双随机、一公开”监管，并根据企业受到处罚情况、其他部门移交线索、群众举报等实施重点监管。3.加强信用监管，依法向社会公布中介机构信用状况和违法中介机构名单，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已下放，依据：石政办发〔2013〕48号，附件5“代理记账机构设立审批”</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人力资源社会保障部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民办职业培训学校设立、分立、合并、变更及终止审批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民办学校办学许可证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《中华人民共和国民办教育促进法》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县级以上地方人力资源社会保障部门或行政审批局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1.开展“双随机、一公开”监管，发现违法违规行为要依法查处并公开结果。2.加强信用监管，依法向社会公布民办职业培训学校信用状况，依法依规对失信主体开展失信惩戒。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已下放，依据：石政办函〔2017〕44号</w:t>
            </w:r>
          </w:p>
        </w:tc>
      </w:tr>
      <w:tr>
        <w:tblPrEx>
          <w:tblCellMar>
            <w:top w:w="0" w:type="dxa"/>
            <w:left w:w="108" w:type="dxa"/>
            <w:bottom w:w="0" w:type="dxa"/>
            <w:right w:w="108" w:type="dxa"/>
          </w:tblCellMar>
        </w:tblPrEx>
        <w:trPr>
          <w:trHeight w:val="406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人力资源社会保障部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人力资源服务许可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人力资源服务许可证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《中华人民共和国就业促进法》《人力资源市场暂行条例》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县级以上地方人力资源社会保障部门或行政审批局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1.开展“双随机、一公开”监管，发现违法违规行为要依法查处并公开结果。2.加强信用监管，依法向社会公布人力资源服务机构信用状况，依法依规对失信主体开展失信惩戒。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住房城乡建设部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从事生活垃圾（含粪便）经营性清扫、收集、运输、处理服务审批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从事生活垃圾（含粪便）经营性清扫、收集、运输、处理服务许可证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《国务院对确需保留的行政审批项目设定行政许可的决定》</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县级以上地方住房城乡建设（环境卫生）部门或行政审批局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发现企业不符合承诺条件开展经营的责令限期整改，逾期不整改或整改后仍达不到要求的依法撤销许可证件。2.构建生活垃圾经营性服务全过程监管体系，强化日常监管。3.推动生活垃圾无害化处理设施建设和运营信息公开。</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已下放，依据：石政办函〔2013〕65号、石政办函〔2017〕44号</w:t>
            </w:r>
          </w:p>
        </w:tc>
      </w:tr>
      <w:tr>
        <w:tblPrEx>
          <w:tblCellMar>
            <w:top w:w="0" w:type="dxa"/>
            <w:left w:w="108" w:type="dxa"/>
            <w:bottom w:w="0" w:type="dxa"/>
            <w:right w:w="108" w:type="dxa"/>
          </w:tblCellMar>
        </w:tblPrEx>
        <w:trPr>
          <w:trHeight w:val="4164"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交通运输部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道路货运经营许可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道路运输经营许可证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《中华人民共和国道路运输条例》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县级交通运输部门或行政审批局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强化市场监管、交通运输等部门之间登记许可信息共享。2.在实施许可后一定时期内加强监督检查，对不符合承诺条件开展经营的要责令限期整改，逾期不整改或整改后仍达不到要求的，要依法撤销许可证件。3.发挥行业协会自律作用。</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裕华区、桥西区、长安区、新华区无交通管理部门，由市级负责审批</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27</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交通运输部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道路旅客运输站经营许可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道路运输经营许可证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《中华人民共和国道路运输条例》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县级交通运输部门或行政审批局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强化市场监管、交通运输等部门之间的登记许可信息共享。2.向社会公开承诺内容，加强社会监督。3.在实施许可后一定时期内加强监督检查，对不符合承诺条件开展经营的要责令限期整改，逾期不整改或整改后仍达不到要求的，要依法撤销许可证件。</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裕华区、桥西区、长安区、新华区无交通管理部门，由市级负责审批</w:t>
            </w:r>
          </w:p>
        </w:tc>
      </w:tr>
      <w:tr>
        <w:tblPrEx>
          <w:tblCellMar>
            <w:top w:w="0" w:type="dxa"/>
            <w:left w:w="108" w:type="dxa"/>
            <w:bottom w:w="0" w:type="dxa"/>
            <w:right w:w="108" w:type="dxa"/>
          </w:tblCellMar>
        </w:tblPrEx>
        <w:trPr>
          <w:trHeight w:val="4095"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28</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国家卫生健康委</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公共场所卫生许可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卫生许可证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《公共场所卫生管理条例》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县级以上地方卫生健康部门或行政审批局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1.开展“双随机、一公开”监管，发现违法违规行为要依法查处并公开结果。2.加强信用监管，向社会公布卫生状况存在严重问题的公共场所信息。3.畅通投诉举报渠道，依法及时处理投诉举报。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7882"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36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29</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应急部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公众聚集场所投入使用、营业前消防安全检查</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6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公众聚集场所投入使用、营业前消防安全检查合格证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《中华人民共和国消防法》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设区的市、县级消防救援机构</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6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对投诉举报多的场所实施重点监管。2.公众聚集场所发生造成人员死亡或重大社会影响的火灾，倒查使用管理方主体责任，依法严肃查处。3.加强信用监管，依法向社会公布公众聚集场所消防安全检查情况，依法依规对失信主体加大抽查比例并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6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消防大队</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7959"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30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新闻出版署</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从事包装装潢印刷品和其他印刷品（不含商标、票据、保密印刷）印刷经营活动企业（不含外资企业）的设立、变更审批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印刷经营许可证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《印刷业管理条例》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设区的市级新闻出版部门或行政审批局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发现企业不符合承诺条件开展经营的责令限期整改，逾期不整改或整改后仍达不到要求的依法撤销许可证件。3.依法及时处理投诉举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1.“从事其他印刷品印刷经营活动企业的设立、变更审批”下放县（市、区），依据：石政办发〔2011〕42号</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2.“从事包装装潢印刷品印刷经营活动企业的设立、变更审批”委托裕华区、新华区、桥西区、长安区，依据：依据：石政办发〔2013〕48号</w:t>
            </w:r>
          </w:p>
        </w:tc>
      </w:tr>
      <w:tr>
        <w:tblPrEx>
          <w:tblCellMar>
            <w:top w:w="0" w:type="dxa"/>
            <w:left w:w="108" w:type="dxa"/>
            <w:bottom w:w="0" w:type="dxa"/>
            <w:right w:w="108" w:type="dxa"/>
          </w:tblCellMar>
        </w:tblPrEx>
        <w:trPr>
          <w:trHeight w:val="3654"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31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国家林草局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林草种子（普通）生产经营许可证核发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林草种子生产经营许可证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《中华人民共和国种子法》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县级以上地方林草部门或行政审批局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1.开展“双随机、一公开”监管，发现违法违规行为要依法查处并公开结果。2.制定核查办法，明确核查时间、标准、方式，优化现场检查程序。3.加强信用监管，建立企业信用记录并依法向社会公开。</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nil"/>
              <w:left w:val="nil"/>
              <w:bottom w:val="nil"/>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3616"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32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国家林草局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省级权限内国家重点保护陆生野生动物人工繁育许可证核发（已制定人工繁育技术标准的物种和列入人工繁育国家重点保护陆生野生动物目录的物种）</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国家重点保护陆生野生动物人工繁育许可证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《中华人民共和国野生动物保护法》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省级林草部门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制作并公布告知承诺书格式文本，一次性告知申请人许可条件和所需材料。对申请人自愿承诺符合许可条件并按要求提交材料的，当场作出许可决定。</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1.严格落实行业标准和规范要求，加大监督检查力度。2.加强信用监管，依法依规对失信主体开展失信惩戒。3.组织开展行业培训。4.发挥行业协会自律作用。</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自然资源和规划局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省级权限委托市级实施、县级初审</w:t>
            </w:r>
          </w:p>
        </w:tc>
      </w:tr>
      <w:tr>
        <w:tblPrEx>
          <w:tblCellMar>
            <w:top w:w="0" w:type="dxa"/>
            <w:left w:w="108" w:type="dxa"/>
            <w:bottom w:w="0" w:type="dxa"/>
            <w:right w:w="108" w:type="dxa"/>
          </w:tblCellMar>
        </w:tblPrEx>
        <w:trPr>
          <w:wAfter w:w="0" w:type="auto"/>
          <w:trHeight w:val="653" w:hRule="atLeast"/>
          <w:jc w:val="center"/>
        </w:trPr>
        <w:tc>
          <w:tcPr>
            <w:tcW w:w="14394" w:type="dxa"/>
            <w:gridSpan w:val="14"/>
            <w:tcBorders>
              <w:top w:val="nil"/>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四、优化审批服务（56）</w:t>
            </w:r>
          </w:p>
        </w:tc>
      </w:tr>
      <w:tr>
        <w:tblPrEx>
          <w:tblCellMar>
            <w:top w:w="0" w:type="dxa"/>
            <w:left w:w="108" w:type="dxa"/>
            <w:bottom w:w="0" w:type="dxa"/>
            <w:right w:w="108" w:type="dxa"/>
          </w:tblCellMar>
        </w:tblPrEx>
        <w:trPr>
          <w:trHeight w:val="7967"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33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教育部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实施中等及中等以下学历教育、学前教育、自学考试助学及其他文化教育的民办学校设立、变更和终止审批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中华人民共和国民办学校办学许可证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《中华人民共和国民办教育促进法》《中华人民共和国民办教育促进法实施条例》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县级以上地方教育部门或行政审批局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在社会组织申请筹设或正式设立营利性民办学校时，不再要求提交由会计师事务所出具的该社会组织近2年的年度财务会计报告审计结果等材料。2.在民办学校举办者再次申请举办营利性民办学校时，不再要求提交近2年年度检查的证明材料和有资质的会计师事务所出具的学校上年度财务会计报告审计结果。3.将营利性民办学校申请许可证到期延续审批时限均由20个工作日压减至15个工作日。4.对民办学校申请许可证到期延续的，若许可条件基本不变且无违法违规或失信记录，在各学段原有许可证期限基础上延长1年有效期。5.每半年1次公布营利性民办学校存量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定期进行抽查检查，加强对民办学校的过程性指导，加大对违法违规办学行为的查处力度。2.推进民办教育信用信息公示制度，将民办学校的法人登记信息、行政许可信息、年度检查信息、监督检查结果、行政处罚信息向社会公示，强化信用约束。3.依法依规建立违规失信惩戒机制，将违规办学的学校及其举办者和负责人纳入黑名单，依法向社会公开，并对其今后在民办教育领域的许可申请实施重点监管。4.健全联合执法机制，通过跨部门的实时数据对接和信息共享，及时掌握和研判民办教育领域出现的新问题，积极主动予以应对。</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rPr>
          <w:trHeight w:val="785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34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民政部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建设经营性公墓审批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无</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《殡葬管理条例》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省级民政部门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1.将经营性公墓的审批权限由省级民政部门下放至设区的市级民政部门或行政审批局，设区的市级民政部门或行政审批局将审批结果报省级民政部门备案。2.加快殡葬信息化建设，推动实现审批全程网上办理。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完善殡葬设施规划，通过规划对殡葬设施进行总量控制。2.开展“双随机、一公开”监管，建立完善殡葬服务企业随机抽查事项清单，增强监管效能。3.强化公墓年检制度，对违规建设经营行为完善处罚机制和措施。4.推进跨部门联合监管。</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民政局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市级、县级审核，省级审批</w:t>
            </w:r>
          </w:p>
        </w:tc>
      </w:tr>
      <w:tr>
        <w:tblPrEx>
          <w:tblCellMar>
            <w:top w:w="0" w:type="dxa"/>
            <w:left w:w="108" w:type="dxa"/>
            <w:bottom w:w="0" w:type="dxa"/>
            <w:right w:w="108" w:type="dxa"/>
          </w:tblCellMar>
        </w:tblPrEx>
        <w:trPr>
          <w:trHeight w:val="7924"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35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人力资源社会保障部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劳务派遣经营许可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劳务派遣经营许可证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《中华人民共和国劳动合同法》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县级以上地方人力资源社会保障部门或行政审批局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有条件的地区将省、设区的市级人力资源社会保障部门的审批权限下放至县级人力资源社会保障部门或行政审批局。2.加快实现申请、审批全程网上办理。3.不再要求申请人提供营业执照、企业名称预先核准通知书、法定代表人身份证明等材料。</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1.开展“双随机、一公开”监管，发现违法违规行为要依法查处。2.加强信用监管，依法向社会公布劳务派遣企业信用状况，依法依规对失信主体开展失信惩戒。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790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36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生态环境部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危险废物综合经营许可证核发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危险废物经营许可证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《中华人民共和国固体废物污染环境防治法》《危险废物经营许可证管理办法》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县级以上地方生态环境部门或行政审批局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不再要求申请人提供以下审批材料：贮存、利用处置危险废物的设施、设备经卫生、消防等部门验收合格的证明文件复印件，环境保护设施竣工验收意见复印件，消防部门证明材料，公安机关证明材料，经营安全生产评估报告及备案证明材料，从事危险货物运输的道路运输经营许可证、危险废物运输车辆运营证、危险货物运输驾驶员证和押运员证复印件。</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合理确定抽查比例。2.畅通投诉举报渠道，依法及时处理有关投诉举报，并公开结果。3.要求危险废物经营单位定期报告有关经营活动环境污染防治情况，将违规经营情况纳入企业信用记录。</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石家庄市生态环境局高邑县分局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37</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生态环境部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排污许可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排污许可证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《中华人民共和国环境保护法》《中华人民共和国大气污染防治法》《中华人民共和国水污染防治法》《中华人民共和国土壤污染防治法》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县级以上地方生态环境部门或行政审批局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通过建设项目行业特征表实现有关信息系统的衔接，推动环境影响评价与排污许可之间的信息共享，不再要求企业重复填报有关信息。</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依法查处无证排污行为和未按证排污行为。2.畅通投诉举报渠道，对反映问题多的排污单位实施重点监管。3.加强信用监管，将企业环境信用信息通过有关信息共享平台向各地区各部门共享，依法向社会公开信用信息，并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38</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交通运输部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道路旅客运输经营许可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道路运输经营许可证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《中华人民共和国道路运输条例》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设区的市、县级交通运输部门或行政审批局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不再要求申请人提供企业章程，现有营运客车行驶证、车辆技术等级评定结论、客车类型等级评定证明，已聘用或者拟聘用驾驶人员的3年内无重大以上交通责任事故证明等材料。</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1.强化部门间信息共享。2.加强社会监督，向社会公开道路旅客运输企业的运输服务质量承诺，依法及时处理投诉举报。3.加强对道路旅客运输活动的监督检查，发现违法违规行为要依法查处。</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3581"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39</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交通运输部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出租汽车经营许可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道路运输经营许可证、网络预约出租汽车经营许可证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《国务院对确需保留的行政审批项目设定行政许可的决定》</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直辖市、设区的市、县级交通运输部门、人民政府指定的出租汽车行政主管部门或行政审批局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将审批时限由20个工作日压减至15个工作日。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1.开展服务质量信誉考核测评，建立出租汽车经营者信用档案并依法向社会公开信用记录，依法依规对失信主体开展失信惩戒。2.依法及时处理投诉举报。3.发挥行业协会自律作用。</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交通局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427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40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交通运输部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出租汽车车辆运营证核发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道路运输证、网络预约出租汽车运输证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《国务院对确需保留的行政审批项目设定行政许可的决定》</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直辖市、设区的市、县级交通运输部门、人民政府指定的出租汽车行政主管部门或行政审批局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对开展出租汽车技术等级评定的地区，不再要求申请人提供技术等级评定相关材料，直接向检测机构获取车辆技术等级评定信息。</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1.开展服务质量信誉考核测评，建立出租汽车经营者信用档案并依法向社会公开信用记录，依法依规对失信主体开展失信惩戒。2.依法及时处理投诉举报。3.发挥行业协会自律作用。</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交通局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7881"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41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水利部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取水许可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取水许可证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《中华人民共和国水法》《取水许可和水资源费征收管理条例》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流域管理机构；县级以上地方水利部门或行政审批局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在各类开发区、工业园区、新区和其他有条件的区域，推行水资源论证区域评估，对已实施水资源论证区域评估范围内的建设项目推行取水许可告知承诺制。2.按国务院统一部署，推广取水许可电子许可证，实现申请、审批全程网上办理。3.简化优化建设项目水资源论证管理要求，实行报告表、报告书分类管理，对取水量较小、用水工艺简单且取退水影响小的项目推行报告表管理。4.简化技术审查环节，细化明确报告书技术审查标准，报告书技术审查时限由30个工作日压减至20个工作日（不含报告书修改时间）。对报告表实行备案承诺制，不再组织技术审查，由水利部门直接审核。</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取水单位和个人取用水、有关技术单位编制报告中存在违法行为的，要依法查处并向社会公开。2.加强信用监管，将取水单位和个人的相关违法信息纳入社会征信体系，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42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生鲜乳准运证明核发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生鲜乳准运证明</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《乳品质量安全监督管理条例》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县级农业农村（畜牧兽医）部门或行政审批局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将生鲜乳准运证明有效期由1年延长至2年。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1.开展“双随机、一公开”监管，发现违法违规行为要依法查处并公开结果。2.加强对生鲜乳运输车辆的监管，将车辆全部纳入监管监测信息系统，实时掌握运营情况。</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43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生鲜乳收购站许可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生鲜乳收购许可证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《乳品质量安全监督管理条例》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县级农业农村（畜牧兽医）部门或行政审批局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将审批时限由20个工作日压减至10个工作日。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1.开展“双随机、一公开”监管，发现违法违规行为要依法查处并公开结果。2.加强对生鲜乳收购站的监管，将其全部纳入监管监测信息系统，实时掌握收购、运营情况。</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44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农作物种子、食用菌菌种生产经营许可证核发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农作物种子、食用菌菌种生产经营许可证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《中华人民共和国种子法》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县级以上地方农业农村部门或行政审批局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1.实现申请、审批网上办理。2.不再要求申请人提供营业执照、法定代表人身份证等材料，通过部门间信息共享获取相关信息。</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1.开展“双随机、一公开”监管，根据风险程度，合理确定抽查比例，对风险等级高的领域、投诉举报多的企业实施重点监管。2.强化社会监督，依法及时处理举报、投诉问题，调查处理结果向社会公开。</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“农作物种子生产经营许可证核发”市级权限委托县（市、区）实施，依据：石政办发〔2013〕48号</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45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种畜禽生产经营许可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种畜禽生产经营许可证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《中华人民共和国畜牧法》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县级以上地方农业农村部门或行政审批局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不再要求申请人提供营业执照、法定代表人身份证等材料，通过部门间信息共享获取相关信息。</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1.开展“双随机、一公开”监管，根据风险程度，合理确定抽查比例，对风险等级高的领域、投诉举报多的企业实施重点监管。2.强化社会监督，依法及时处理投诉举报，调查处理结果向社会公开。</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市级权限委托县（市、区）实施，依据：石政办发〔2016〕27号</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46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兽药经营许可证核发（非生物制品类）</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兽药经营许可证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《兽药管理条例》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设区的市、县级农业农村部门或行政审批局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将审批时限由30个工作日压减至20个工作日。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1.开展“双随机、一公开”监管，发现违法违规行为要依法查处并公开查处结果。2.对风险等级高的领域、投诉举报多的企业增加监督检查次数和抽检兽药数量，实施重点监管。</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47</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动物诊疗许可证核发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动物诊疗许可证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《中华人民共和国动物防疫法》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县级以上地方农业农村部门或行政审批局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将审批时限由20个工作日压减至15个工作日。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1.开展“双随机、一公开”监管，发现违法违规行为要依法查处并公开查处结果。2.强化社会监督，依法及时处理投诉举报。3.加强行业监测，针对发现的普遍性问题和突出风险开展专项行动，确保不发生系统性、区域性风险。</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4551"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48</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农药经营许可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农药经营许可证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《农药管理条例》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县级以上地方农业农村部门或行政审批局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1.实现申请、审批网上办理。2.不再要求申请人同时提供申请材料的纸质文件和电子文档。</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加强行业监测，畅通投诉举报渠道，将风险隐患、投诉举报较多的企业列入重点监管对象。3.加强信用监管，依法向社会公布农药经营企业信用状况，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3354"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49</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动物防疫条件合格证核发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动物防疫条件合格证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《中华人民共和国动物防疫法》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县级以上地方农业农村部门或行政审批局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1.实现申请、审批网上办理。2.将审批时限由20个工作日压减至15个工作日。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1.开展“双随机、一公开”监管，发现违法违规行为要依法查处并公开结果。2.针对行业突出问题和重大风险点，开展安全风险预警监测，及时发现隐患并处置。3.强化社会监督，依法及时处理投诉举报。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已下放，依据：石政办发〔2016〕63号</w:t>
            </w:r>
          </w:p>
        </w:tc>
      </w:tr>
      <w:tr>
        <w:tblPrEx>
          <w:tblCellMar>
            <w:top w:w="0" w:type="dxa"/>
            <w:left w:w="108" w:type="dxa"/>
            <w:bottom w:w="0" w:type="dxa"/>
            <w:right w:w="108" w:type="dxa"/>
          </w:tblCellMar>
        </w:tblPrEx>
        <w:trPr>
          <w:trHeight w:val="3842"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50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采集、出售、收购国家二级保护野生植物（农业类）审批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国家重点保护野生植物采集许可证，出售、收购国家二级保护野生植物许可文件</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《中华人民共和国野生植物保护条例》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省级农业农村部门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both"/>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both"/>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both"/>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不再要求申请人提供营业执照、法定代表人身份证等材料，通过部门间信息共享获取相关信息。</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加强信用监管，依法依规对失信主体开展失信惩戒。3.对风险等级较高、信用等级较低的企业实施重点监管。4.依法及时处理投诉举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省级权限委托市级实施、县级初审</w:t>
            </w:r>
          </w:p>
        </w:tc>
      </w:tr>
      <w:tr>
        <w:tblPrEx>
          <w:tblCellMar>
            <w:top w:w="0" w:type="dxa"/>
            <w:left w:w="108" w:type="dxa"/>
            <w:bottom w:w="0" w:type="dxa"/>
            <w:right w:w="108" w:type="dxa"/>
          </w:tblCellMar>
        </w:tblPrEx>
        <w:trPr>
          <w:trHeight w:val="4029"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51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渔业捕捞许可证审批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渔业捕捞许可证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《中华人民共和国渔业法》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县级以上农业农村（渔业）部门或行政审批局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1.实现全国一网通办。2.对能够通过有关信息系统或者部门间信息共享核查的证明材料，不再要求申请人提供。</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1.开展“双随机、一公开”监管，发现违法违规行为要依法查处并及时公布查处结果。2.强化社会监督，依法及时处理投诉举报，调查处理结果向社会公开。</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市级仅负责黄壁庄水库渔业捕捞许可</w:t>
            </w:r>
          </w:p>
        </w:tc>
      </w:tr>
      <w:tr>
        <w:tblPrEx>
          <w:tblCellMar>
            <w:top w:w="0" w:type="dxa"/>
            <w:left w:w="108" w:type="dxa"/>
            <w:bottom w:w="0" w:type="dxa"/>
            <w:right w:w="108" w:type="dxa"/>
          </w:tblCellMar>
        </w:tblPrEx>
        <w:trPr>
          <w:trHeight w:val="4032"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52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水域滩涂养殖证核发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水域滩涂养殖证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《中华人民共和国渔业法》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县级以上地方人民政府或行政审批局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1.实现全国一网通办，申请人“最多跑一次”。2.不再要求申请人提供营业执照、法定代表人身份证等材料，通过部门间信息共享获取相关信息。</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1.开展“双随机、一公开”监管，发现违法违规行为要依法查处。2.对风险等级高、投诉举报多的企业实施重点监管。3.依法及时处理投诉举报，处理结果依法向社会公开并记入企业信用记录。</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3837"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53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水产苗种场（不含原种场）的水产苗种生产许可证核发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水产苗种生产许可证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《中华人民共和国渔业法》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设区的市、县级农业农村（渔业）部门或行政审批局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1.实现全国一网通办，申请人“最多跑一次”。2.不再要求申请人提供营业执照、法定代表人身份证等材料，通过部门间信息共享获取相关信息。</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1.开展“双随机、一公开”监管，发现违法违规行为要依法查处。2.对风险等级高、投诉举报多的企业实施重点监管。3.依法及时处理投诉举报，处理结果依法向社会公开并记入企业信用记录。</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3554"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54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水产原种场的水产苗种生产许可证核发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水产苗种生产许可证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《中华人民共和国渔业法》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省级农业农村（渔业）部门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1.实现全国一网通办，申请人“最多跑一次”。2.不再要求申请人提供营业执照、法定代表人身份证等材料，通过部门间信息共享获取相关信息。</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1.开展“双随机、一公开”监管，发现违法违规行为要依法查处。2.对风险等级高、投诉举报多的企业实施重点监管。3.依法及时处理投诉举报，处理结果依法向社会公开并记入企业信用记录。</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农业农村局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省行政许可通用目录（2020年版）中“水产苗种生产审批”行使层级为县级</w:t>
            </w:r>
          </w:p>
        </w:tc>
      </w:tr>
      <w:tr>
        <w:tblPrEx>
          <w:tblCellMar>
            <w:top w:w="0" w:type="dxa"/>
            <w:left w:w="108" w:type="dxa"/>
            <w:bottom w:w="0" w:type="dxa"/>
            <w:right w:w="108" w:type="dxa"/>
          </w:tblCellMar>
        </w:tblPrEx>
        <w:trPr>
          <w:trHeight w:val="4399"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55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文化和旅游部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互联网上网服务营业场所经营单位设立审批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网络文化经营许可证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《互联网上网服务营业场所管理条例》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县级以上地方文化和旅游部门或行政审批局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1.取消总量限制和布局要求。2.取消对互联网上网服务营业场所的计算机数量限制。3.不再要求申请人提供资金信用证明等材料。4.将审批时限由20个工作日压减至13个工作日。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1.开展“双随机、一公开”监管，发现违法违规行为要依法查处。2.加强信用监管，依法依规对失信主体开展失信惩戒。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56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文化和旅游部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游艺娱乐场所设立审批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娱乐经营许可证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《娱乐场所管理条例》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县级文化和旅游部门或行政审批局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1.取消总量限制和布局要求。2.将审批时限由20个工作日压减至13个工作日。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1.开展“双随机、一公开”监管，发现违法违规行为要依法查处。2.加强信用监管，依法依规对失信主体开展失信惩戒。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57</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文化和旅游部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歌舞娱乐场所设立审批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娱乐经营许可证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《娱乐场所管理条例》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县级文化和旅游部门或行政审批局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将审批时限由20个工作日压减至13个工作日。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1.开展“双随机、一公开”监管，发现违法违规行为要依法查处。2.加强信用监管，依法依规对失信主体开展失信惩戒。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58</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文化和旅游部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文艺表演团体设立审批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营业性演出许可证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《营业性演出管理条例》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县级文化和旅游部门或行政审批局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1.实现申请、审批全程网上办理。2.将审批时限由20个工作日压减至13个工作日。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1.开展“双随机、一公开”监管，发现违法违规行为要依法查处。2.加强信用监管，依法依规对失信主体开展失信惩戒。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59</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国家卫生健康委</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饮用水供水单位卫生许可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卫生许可证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《中华人民共和国传染病防治法》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设区的市、县级卫生健康部门或行政审批局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不再要求申请人提供从业人员健康体检合格证明。</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1.开展“双随机、一公开”监管，发现违法违规行为要依法查处。2.强化部门协同监管，卫生健康部门向供水主管部门通报饮用水供水单位监督检查情况。3.畅通投诉举报渠道，依法及时处理投诉举报。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已下放，依据：石政办函〔2013〕1号、石卫字〔2019〕89号</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60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国家卫生健康委</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放射源诊疗技术和医用辐射机构许可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放射诊疗许可证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《中华人民共和国职业病防治法》《放射性同位素与射线装置安全和防护条例》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县级以上地方卫生健康部门或行政审批局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将审批时限由20个工作日压减至10个工作日。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1.开展“双随机、一公开”监管，发现违法违规行为要依法查处并公开结果。2.依法及时处理投诉举报。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市级权限委托县（市、区）实施，依据：石政办发〔2013〕48号，附件4“放射诊疗许可”</w:t>
            </w:r>
          </w:p>
        </w:tc>
      </w:tr>
      <w:tr>
        <w:tblPrEx>
          <w:tblCellMar>
            <w:top w:w="0" w:type="dxa"/>
            <w:left w:w="108" w:type="dxa"/>
            <w:bottom w:w="0" w:type="dxa"/>
            <w:right w:w="108" w:type="dxa"/>
          </w:tblCellMar>
        </w:tblPrEx>
        <w:trPr>
          <w:trHeight w:val="4967"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61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国家卫生健康委</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母婴保健专项技术服务许可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母婴保健技术服务执业许可证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《中华人民共和国母婴保健法》《中华人民共和国母婴保健法实施办法》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县级以上地方卫生健康部门或行政审批局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将开展婚前医学检查、产前筛查的母婴保健专项技术服务机构的审批权限下放至县级卫生健康部门。</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加强母婴保健专项技术质量控制。2.开展“双随机、一公开”监管，发现违法违规行为要依法查处并公开结果。3.加强产前诊断机构对产前筛查机构的人员培训、技术指导和质量控制。4.加强信用监管，依法向社会公布母婴保健专项技术服务机构信用状况。5.依法及时处理投诉举报。6.加强母婴保健专项技术服务行业自律。</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已下放，依据：石政办发〔2011〕3号</w:t>
            </w:r>
          </w:p>
        </w:tc>
      </w:tr>
      <w:tr>
        <w:tblPrEx>
          <w:tblCellMar>
            <w:top w:w="0" w:type="dxa"/>
            <w:left w:w="108" w:type="dxa"/>
            <w:bottom w:w="0" w:type="dxa"/>
            <w:right w:w="108" w:type="dxa"/>
          </w:tblCellMar>
        </w:tblPrEx>
        <w:trPr>
          <w:trHeight w:val="2602"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62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国家卫生健康委</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医疗机构（不含诊所）执业登记</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医疗机构执业许可证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《医疗机构管理条例》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县级以上地方卫生健康部门或行政审批局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1.取消医疗机构验资证明。2.实现医疗机构电子化注册登记。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1.对医疗机构开展定期校验，加强对医疗机构执业活动的监管，发现违法违规行为要依法查处并公开结果。2.组织开展医疗机构评审。3.依法及时处理投诉举报。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069"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63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国家卫生健康委</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单采血浆站设置审批及许可证核发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单采血浆许可证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《血液制品管理条例》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省级卫生健康部门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1.实现网上提交申请材料。2.将审批时限由20个工作日压减至15个工作日。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1.开展“双随机、一公开”监管，发现违法违规行为要依法查处并公开结果。2.利用信息化手段加强监管。3.依法及时处理投诉举报。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卫健局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“单采血浆站许可证核发”市级审查、县级初审</w:t>
            </w:r>
          </w:p>
        </w:tc>
      </w:tr>
      <w:tr>
        <w:tblPrEx>
          <w:tblCellMar>
            <w:top w:w="0" w:type="dxa"/>
            <w:left w:w="108" w:type="dxa"/>
            <w:bottom w:w="0" w:type="dxa"/>
            <w:right w:w="108" w:type="dxa"/>
          </w:tblCellMar>
        </w:tblPrEx>
        <w:trPr>
          <w:trHeight w:val="3286"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64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国家卫生健康委</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麻醉药品和第一类精神药品购用许可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麻醉药品和第一类精神药品购用印鉴卡</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《麻醉药品和精神药品管理条例》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设区的市级卫生健康部门或行政审批局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不再要求申请人提供医疗机构执业许可证副本复印件。</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严格执行对麻醉药品和精神药品采购、处方开具、临床合理使用、回收、销毁等各项规定，发现问题依法及时处理。2.实时统计和跟踪药品使用情况，掌握印鉴卡管理状态，实现麻醉药品和精神药品全程闭环管理。</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市级权限委托县（市、区）实施，依据：石政办发〔2013〕48号</w:t>
            </w:r>
          </w:p>
        </w:tc>
      </w:tr>
      <w:tr>
        <w:tblPrEx>
          <w:tblCellMar>
            <w:top w:w="0" w:type="dxa"/>
            <w:left w:w="108" w:type="dxa"/>
            <w:bottom w:w="0" w:type="dxa"/>
            <w:right w:w="108" w:type="dxa"/>
          </w:tblCellMar>
        </w:tblPrEx>
        <w:trPr>
          <w:trHeight w:val="385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65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应急部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烟花爆竹经营（批发）许可证核发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烟花爆竹经营（批发）许可证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《烟花爆竹安全管理条例》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设区的市级应急管理部门或行政审批局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1.实现申请、审批全程网上办理。2.将审批时限由30个工作日压减至20个工作日。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1.开展“双随机、一公开”监管，发现违法违规行为要依法严查重处并公开结果。2.加强信用监管，依法向社会公布烟花爆竹经营（批发）企业信用状况，依法依规对失信主体开展失信惩戒。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已下放，依据：石政办发〔2013〕48号</w:t>
            </w:r>
          </w:p>
        </w:tc>
      </w:tr>
      <w:tr>
        <w:tblPrEx>
          <w:tblCellMar>
            <w:top w:w="0" w:type="dxa"/>
            <w:left w:w="108" w:type="dxa"/>
            <w:bottom w:w="0" w:type="dxa"/>
            <w:right w:w="108" w:type="dxa"/>
          </w:tblCellMar>
        </w:tblPrEx>
        <w:trPr>
          <w:trHeight w:val="4032"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66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应急部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烟花爆竹经营（零售）许可证核发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烟花爆竹经营（零售）许可证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《烟花爆竹安全管理条例》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县级应急管理部门或行政审批局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1.实现申请、审批全程网上办理。2.将审批时限由20个工作日压减至15个工作日。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1.开展“双随机、一公开”监管，发现违法违规行为要依法严查重处并公开结果。2.加强信用监管，依法向社会公布烟花爆竹经营（零售）企业信用状况，依法依规对失信主体开展失信惩戒。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3786"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67</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应急部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危险化学品经营许可证核发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危险化学品经营许可证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《危险化学品安全管理条例》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设区的市、县级应急管理部门或行政审批局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pacing w:val="0"/>
                <w:sz w:val="18"/>
                <w:szCs w:val="18"/>
                <w:u w:val="none"/>
              </w:rPr>
            </w:pPr>
            <w:r>
              <w:rPr>
                <w:rFonts w:hint="eastAsia" w:ascii="仿宋_GB2312" w:hAnsi="宋体" w:eastAsia="仿宋_GB2312" w:cs="仿宋_GB2312"/>
                <w:i w:val="0"/>
                <w:iCs w:val="0"/>
                <w:color w:val="000000"/>
                <w:spacing w:val="0"/>
                <w:kern w:val="0"/>
                <w:sz w:val="18"/>
                <w:szCs w:val="18"/>
                <w:u w:val="none"/>
                <w:lang w:val="en-US" w:eastAsia="zh-CN" w:bidi="ar"/>
              </w:rPr>
              <w:t>1.实现申请、审批全程网上办理。2.将审批时限由30个工作日压减至20个工作日。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pacing w:val="0"/>
                <w:sz w:val="18"/>
                <w:szCs w:val="18"/>
                <w:u w:val="none"/>
              </w:rPr>
            </w:pPr>
            <w:r>
              <w:rPr>
                <w:rFonts w:hint="eastAsia" w:ascii="仿宋_GB2312" w:hAnsi="宋体" w:eastAsia="仿宋_GB2312" w:cs="仿宋_GB2312"/>
                <w:i w:val="0"/>
                <w:iCs w:val="0"/>
                <w:color w:val="000000"/>
                <w:spacing w:val="0"/>
                <w:kern w:val="0"/>
                <w:sz w:val="18"/>
                <w:szCs w:val="18"/>
                <w:u w:val="none"/>
                <w:lang w:val="en-US" w:eastAsia="zh-CN" w:bidi="ar"/>
              </w:rPr>
              <w:t>1.开展“双随机、一公开”监管，发现违法违规行为要依法严查重处并公开结果。2.加强信用监管，依法向社会公布危险化学品经营企业信用状况，依法依规对失信主体开展失信惩戒。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仿宋_GB2312" w:hAnsi="宋体" w:eastAsia="仿宋_GB2312" w:cs="仿宋_GB2312"/>
                <w:i w:val="0"/>
                <w:iCs w:val="0"/>
                <w:color w:val="000000"/>
                <w:spacing w:val="0"/>
                <w:sz w:val="18"/>
                <w:szCs w:val="18"/>
                <w:u w:val="none"/>
              </w:rPr>
            </w:pPr>
            <w:r>
              <w:rPr>
                <w:rFonts w:hint="eastAsia" w:ascii="仿宋_GB2312" w:hAnsi="宋体" w:eastAsia="仿宋_GB2312" w:cs="仿宋_GB2312"/>
                <w:i w:val="0"/>
                <w:iCs w:val="0"/>
                <w:color w:val="000000"/>
                <w:spacing w:val="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pacing w:val="0"/>
                <w:sz w:val="18"/>
                <w:szCs w:val="18"/>
                <w:u w:val="none"/>
              </w:rPr>
            </w:pPr>
            <w:r>
              <w:rPr>
                <w:rFonts w:hint="eastAsia" w:ascii="仿宋_GB2312" w:hAnsi="宋体" w:eastAsia="仿宋_GB2312" w:cs="仿宋_GB2312"/>
                <w:i w:val="0"/>
                <w:iCs w:val="0"/>
                <w:color w:val="000000"/>
                <w:spacing w:val="0"/>
                <w:kern w:val="0"/>
                <w:sz w:val="18"/>
                <w:szCs w:val="18"/>
                <w:u w:val="none"/>
                <w:lang w:val="en-US" w:eastAsia="zh-CN" w:bidi="ar"/>
              </w:rPr>
              <w:t>市级权限委托县（市）、区实施，依据：石行审规〔2019〕5号</w:t>
            </w:r>
          </w:p>
        </w:tc>
      </w:tr>
      <w:tr>
        <w:tblPrEx>
          <w:tblCellMar>
            <w:top w:w="0" w:type="dxa"/>
            <w:left w:w="108" w:type="dxa"/>
            <w:bottom w:w="0" w:type="dxa"/>
            <w:right w:w="108" w:type="dxa"/>
          </w:tblCellMar>
        </w:tblPrEx>
        <w:trPr>
          <w:trHeight w:val="4102"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68</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应急部</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新建、改建、扩建生产、储存危险化学品（包括使用长输管道输送危险化学品）建设项目安全条件审查</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危险化学品建设项目安全条件审查意见书</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《危险化学品安全管理条例》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应急部；省、设区的市级应急管理部门或行政审批局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pacing w:val="0"/>
                <w:sz w:val="18"/>
                <w:szCs w:val="18"/>
                <w:u w:val="none"/>
              </w:rPr>
            </w:pPr>
            <w:r>
              <w:rPr>
                <w:rFonts w:hint="eastAsia" w:ascii="仿宋_GB2312" w:hAnsi="宋体" w:eastAsia="仿宋_GB2312" w:cs="仿宋_GB2312"/>
                <w:i w:val="0"/>
                <w:iCs w:val="0"/>
                <w:color w:val="000000"/>
                <w:spacing w:val="0"/>
                <w:kern w:val="0"/>
                <w:sz w:val="18"/>
                <w:szCs w:val="18"/>
                <w:u w:val="none"/>
                <w:lang w:val="en-US" w:eastAsia="zh-CN" w:bidi="ar"/>
              </w:rPr>
              <w:t>1.实现申请、审批全程网上办理。2.将审批时限由45个工作日压减至30个工作日。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pacing w:val="0"/>
                <w:sz w:val="18"/>
                <w:szCs w:val="18"/>
                <w:u w:val="none"/>
              </w:rPr>
            </w:pPr>
            <w:r>
              <w:rPr>
                <w:rFonts w:hint="eastAsia" w:ascii="仿宋_GB2312" w:hAnsi="宋体" w:eastAsia="仿宋_GB2312" w:cs="仿宋_GB2312"/>
                <w:i w:val="0"/>
                <w:iCs w:val="0"/>
                <w:color w:val="000000"/>
                <w:spacing w:val="0"/>
                <w:kern w:val="0"/>
                <w:sz w:val="18"/>
                <w:szCs w:val="18"/>
                <w:u w:val="none"/>
                <w:lang w:val="en-US" w:eastAsia="zh-CN" w:bidi="ar"/>
              </w:rPr>
              <w:t>1.开展“双随机、一公开”监管，发现违法违规行为要依法严查重处并公开结果。2.加强信用监管，依法依规对失信主体开展失信惩戒。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仿宋_GB2312" w:hAnsi="宋体" w:eastAsia="仿宋_GB2312" w:cs="仿宋_GB2312"/>
                <w:i w:val="0"/>
                <w:iCs w:val="0"/>
                <w:color w:val="000000"/>
                <w:spacing w:val="0"/>
                <w:sz w:val="18"/>
                <w:szCs w:val="18"/>
                <w:u w:val="none"/>
              </w:rPr>
            </w:pPr>
            <w:r>
              <w:rPr>
                <w:rFonts w:hint="eastAsia" w:ascii="仿宋_GB2312" w:hAnsi="宋体" w:eastAsia="仿宋_GB2312" w:cs="仿宋_GB2312"/>
                <w:i w:val="0"/>
                <w:iCs w:val="0"/>
                <w:color w:val="000000"/>
                <w:spacing w:val="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jc w:val="both"/>
              <w:textAlignment w:val="center"/>
              <w:rPr>
                <w:rFonts w:hint="eastAsia" w:ascii="仿宋_GB2312" w:hAnsi="宋体" w:eastAsia="仿宋_GB2312" w:cs="仿宋_GB2312"/>
                <w:i w:val="0"/>
                <w:iCs w:val="0"/>
                <w:color w:val="000000"/>
                <w:spacing w:val="0"/>
                <w:sz w:val="18"/>
                <w:szCs w:val="18"/>
                <w:u w:val="none"/>
              </w:rPr>
            </w:pPr>
            <w:r>
              <w:rPr>
                <w:rFonts w:hint="eastAsia" w:ascii="仿宋_GB2312" w:hAnsi="宋体" w:eastAsia="仿宋_GB2312" w:cs="仿宋_GB2312"/>
                <w:i w:val="0"/>
                <w:iCs w:val="0"/>
                <w:color w:val="000000"/>
                <w:spacing w:val="0"/>
                <w:kern w:val="0"/>
                <w:sz w:val="18"/>
                <w:szCs w:val="18"/>
                <w:u w:val="none"/>
                <w:lang w:val="en-US" w:eastAsia="zh-CN" w:bidi="ar"/>
              </w:rPr>
              <w:t>市级权限下放裕华区、新华区、桥西区、长安区，委托其余县（市、区）实施，依据：石行审规〔2019〕5号</w:t>
            </w:r>
          </w:p>
        </w:tc>
      </w:tr>
      <w:tr>
        <w:tblPrEx>
          <w:tblCellMar>
            <w:top w:w="0" w:type="dxa"/>
            <w:left w:w="108" w:type="dxa"/>
            <w:bottom w:w="0" w:type="dxa"/>
            <w:right w:w="108" w:type="dxa"/>
          </w:tblCellMar>
        </w:tblPrEx>
        <w:trPr>
          <w:trHeight w:val="227"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69</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市场监管总局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承担国家法定计量检定机构任务授权审批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计量授权证书</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《中华人民共和国计量法》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县级以上市场监管部门或行政审批局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00" w:lineRule="exact"/>
              <w:jc w:val="both"/>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1.实现申请、审批全程网上办理，并将审批信息统一归集至有关数据平台。2.取消计量标准考核证书、计量检定或校准人员能力证明等申请材料。3.对变更法定代表人、授权签字人或计量规程等无需现场审查的事项，由法定计量检定机构自愿承诺符合相关要求，审批部门对承诺内容进行形式审查后办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00" w:lineRule="exact"/>
              <w:jc w:val="both"/>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1.开展“双随机、一公开”监管，发现违法违规行为要依法查处并公开结果。2.对通过投诉举报等渠道反映问题多的机构实施重点监管。3.加强信用监管，依法向社会公布法定计量检定机构信用状况，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80" w:lineRule="exact"/>
              <w:ind w:left="0" w:leftChars="0" w:right="0" w:rightChars="0" w:firstLine="0" w:firstLineChars="0"/>
              <w:jc w:val="center"/>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80" w:lineRule="exact"/>
              <w:jc w:val="both"/>
              <w:rPr>
                <w:rFonts w:hint="eastAsia" w:ascii="仿宋_GB2312" w:hAnsi="宋体" w:eastAsia="仿宋_GB2312" w:cs="仿宋_GB2312"/>
                <w:i w:val="0"/>
                <w:iCs w:val="0"/>
                <w:color w:val="000000"/>
                <w:spacing w:val="-6"/>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70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市场监管总局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食品经营许可（除仅销售预包装食品外）</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食品经营许可证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《中华人民共和国食品安全法》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县级以上地方市场监管部门或行政审批局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00" w:lineRule="exact"/>
              <w:jc w:val="both"/>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1.餐饮服务经营者销售预包装食品的，不需要申请在许可证上标注销售类食品经营项目。2.不再要求申请人提供营业执照复印件。</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1.严格执行有关法律法规和标准，发挥网格化管理的优势，发现违法违规行为要依法严查重处并公开结果。2.加强信用监管，依法向社会公布食品经营企业信用状况，依法依规对失信主体开展失信惩戒。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已下放</w:t>
            </w:r>
          </w:p>
        </w:tc>
      </w:tr>
      <w:tr>
        <w:tblPrEx>
          <w:tblCellMar>
            <w:top w:w="0" w:type="dxa"/>
            <w:left w:w="108" w:type="dxa"/>
            <w:bottom w:w="0" w:type="dxa"/>
            <w:right w:w="108" w:type="dxa"/>
          </w:tblCellMar>
        </w:tblPrEx>
        <w:trPr>
          <w:trHeight w:val="7871"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71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市场监管总局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食品（含食品添加剂）生产许可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食品生产许可证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《中华人民共和国食品安全法》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县级以上地方市场监管部门或行政审批局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00" w:lineRule="exact"/>
              <w:jc w:val="both"/>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1.除特殊食品（包括保健食品、婴幼儿配方食品和特殊医学用途配方食品）、婴幼儿辅助食品、食盐外，将审批权限由省级市场监管部门下放至设区的市、县级市场监管部门或行政审批局。2.实现申请、审批全程网上办理。3.不再要求申请人提供营业执照、食品安全管理制度文本等材料，但申请特殊食品生产许可的应提交与所生产食品相适应的生产质量管理体系文件。4.将审批时限由20个工作日压减至10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加大信息公示力度，向社会公开食品生产许可信息。2.加强日常监督检查，根据食品生产企业风险分级情况确定检查频次，开展监督检查并向社会公开检查结果。3.加强信用监管，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4188"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72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广电总局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广播电视视频点播业务（乙种）审批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广播电视视频点播业务许可证（乙种）</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《国务院对确需保留的行政审批项目设定行政许可的决定》</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省级广电部门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1.不再要求申请人提供营业执照、酒店星级证明等材料。2.将审批时限由20个工作日压减至15个工作日。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通过实地检查、广播电视监测系统监测等方式，对广播电视视频点播单位业务开展情况及播出内容进行监测监看。3.依法及时处理投诉举报，对投诉举报等渠道反映问题多的单位实施重点监管。</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市、县按职责权限进行初审和审核</w:t>
            </w:r>
          </w:p>
        </w:tc>
      </w:tr>
      <w:tr>
        <w:tblPrEx>
          <w:tblCellMar>
            <w:top w:w="0" w:type="dxa"/>
            <w:left w:w="108" w:type="dxa"/>
            <w:bottom w:w="0" w:type="dxa"/>
            <w:right w:w="108" w:type="dxa"/>
          </w:tblCellMar>
        </w:tblPrEx>
        <w:trPr>
          <w:trHeight w:val="3728"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73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广电总局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广播电视节目制作经营单位设立审批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广播电视节目制作经营许可证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《广播电视管理条例》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广电总局；省级广电部门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1.不再要求申请人提供法定代表人身份证明复印件、营业执照等材料。2.将审批时限由20个工作日压减至15个工作日。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通过日常监听监看、受理群众举报等方式对广播电视节目制作经营单位的节目制作经营情况进行监管，发现违法违规行为要依法及时查处。</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文旅局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市、县按照职责权限进行初审和审核</w:t>
            </w:r>
          </w:p>
        </w:tc>
      </w:tr>
      <w:tr>
        <w:tblPrEx>
          <w:tblCellMar>
            <w:top w:w="0" w:type="dxa"/>
            <w:left w:w="108" w:type="dxa"/>
            <w:bottom w:w="0" w:type="dxa"/>
            <w:right w:w="108" w:type="dxa"/>
          </w:tblCellMar>
        </w:tblPrEx>
        <w:trPr>
          <w:trHeight w:val="7867"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74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广电总局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设立电视剧制作单位审批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电视剧制作许可证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《广播电视管理条例》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广电总局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办理电视剧制作许可证（乙种）时不再要求申请人提供题材规划立项批准文件复印件、广播电视节目制作经营许可证复印件。2.办理电视剧制作许可证（甲种）时不再要求申请人提供电视剧制作许可证（乙种）复印件、电视剧发行许可证复印件。3.将电视剧制作许可证（乙种）有效期限由180日延长至1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通过日常监听监看、受理群众举报等方式对电视剧制作单位的电视剧制作情况进行监管，发现违法违规行为要依法查处并公开结果。</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文旅局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市、县按照职责权限进行初审和审核</w:t>
            </w:r>
          </w:p>
        </w:tc>
      </w:tr>
      <w:tr>
        <w:tblPrEx>
          <w:tblCellMar>
            <w:top w:w="0" w:type="dxa"/>
            <w:left w:w="108" w:type="dxa"/>
            <w:bottom w:w="0" w:type="dxa"/>
            <w:right w:w="108" w:type="dxa"/>
          </w:tblCellMar>
        </w:tblPrEx>
        <w:trPr>
          <w:trHeight w:val="7796"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75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广电总局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卫星电视广播地面接收设施安装服务许可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2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卫星电视广播地面接收设施安装服务许可证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《卫星电视广播地面接收设施管理规定》</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广电总局；省级广电部门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2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1.加强政务信息共享共用，不再要求申请人提供营业执照、营业场所证明、主要出资单位证明、验资证明等材料。2.将许可证有效期限由1年延长至2年。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3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1.依法及时处理投诉举报。2.制定年度监管计划，采取实地暗访、专项检查等方式对卫星电视广播地面接收设施安装服务机构经营情况进行监管，发现违法违规行为要依法查处并公开结果。</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市、县按照职责权限进行初审和审核</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76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广电总局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经营广播电视节目传送业务审批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广播电视节目传送业务经营许可证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《国务院对确需保留的行政审批项目设定行政许可的决定》</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广电总局；省级广电部门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对有线传送业务，不再要求申请人提供验资报告、营业执照、设备证明、企业章程、人员证明等材料。2.对无线传送业务，取消资金保障及来源、具有必要的设计文件或技术评估报告和基本建设资金、稳定的经费保障、有必要的工作场所、工作环境安全可靠等经营许可条件。3.将审批时限由20个工作日压减至15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通过监看节目内容、受理群众举报等方式对广播电视节目传送业务进行监管，发现违法违规行为要依法查处并公开结果。2.加强信用监管，依法向社会公布广播电视节目传送单位信用状况，依法依规对失信主体开展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文旅局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市级、县级按职责权限进行初审和审核</w:t>
            </w:r>
          </w:p>
        </w:tc>
      </w:tr>
      <w:tr>
        <w:tblPrEx>
          <w:tblCellMar>
            <w:top w:w="0" w:type="dxa"/>
            <w:left w:w="108" w:type="dxa"/>
            <w:bottom w:w="0" w:type="dxa"/>
            <w:right w:w="108" w:type="dxa"/>
          </w:tblCellMar>
        </w:tblPrEx>
        <w:trPr>
          <w:trHeight w:val="3902"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77</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体育总局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经营高危险性体育项目许可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经营高危险性体育项目许可证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《全民健身条例》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县级以上地方体育部门或行政审批局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1.推广全程网上办理，推进体育领域信息数据共享应用。2.将审批时限由20个工作日压减至15个工作日。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建立健全跨区域、跨层级、跨部门协同监管制度，推进联合执法。3.加强信用监管，依法依规将有严重违法违规行为的机构列入黑名单，对相关经营主体和从业人员实施信用约束和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已下放，依据：石政规〔2018〕18号</w:t>
            </w:r>
          </w:p>
        </w:tc>
      </w:tr>
      <w:tr>
        <w:tblPrEx>
          <w:tblCellMar>
            <w:top w:w="0" w:type="dxa"/>
            <w:left w:w="108" w:type="dxa"/>
            <w:bottom w:w="0" w:type="dxa"/>
            <w:right w:w="108" w:type="dxa"/>
          </w:tblCellMar>
        </w:tblPrEx>
        <w:trPr>
          <w:trHeight w:val="3956"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78</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体育总局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设立健身气功站点审批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健身气功站点注册证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《国务院对确需保留的行政审批项目设定行政许可的决定》</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县级体育部门或行政审批局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1.推广全程网上办理，推进体育领域信息数据共享应用。2.将审批时限由20个工作日压减至15个工作日。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建立健全跨区域、跨层级、跨部门协同监管制度，推进联合执法。3.加强信用监管，依法依规将有严重违法违规行为的机构列入黑名单，对相关经营主体和从业人员实施信用约束和失信惩戒。</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79</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新闻出版署</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从事特定印刷品（商标、票据、保密印刷）印刷经营活动企业（不含外资企业）的设立、变更审批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印刷经营许可证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《印刷业管理条例》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设区的市级新闻出版部门或行政审批局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1.推动实现申请、审批全程网上办理。2.将审批时限由60个工作日压减至40个工作日。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1.开展“双随机、一公开”监管，发现违法违规行为要依法查处并公开结果。2.依法及时处理投诉举报。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“从事其他印刷品印刷经营活动企业的设立、变更审批”下放县（市、区），依据：石政办发〔2011〕42号</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80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新闻出版署</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出版物零售单位设立、变更审批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出版物经营许可证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《出版管理条例》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县级新闻出版部门或行政审批局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1.推动实现申请、审批全程网上办理，并在网上公布审批程序、受理条件、办理标准，公开办理进度。2.精简审批材料，推动在线获取核验营业执照、企业章程、经营场所情况及使用权证明、法定代表人及主要负责人身份证明等材料。3.将审批时限由20个工作日压减至13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1.开展“双随机、一公开”监管，发现违法违规行为要依法查处并公开结果。2.依法及时处理投诉举报。3.推进部门间信息共享应用。</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81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国家烟草局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烟草专卖零售许可证核发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烟草专卖零售许可证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《中华人民共和国烟草专卖法》《中华人民共和国烟草专卖法实施条例》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设区的市、县级烟草部门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将审批时限由15个工作日压减至8个工作日。</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1.开展“双随机、一公开”监管，加强对持证主体合规经营的监管，发现违法违规行为要依法查处并公开结果。2.取缔无证经营主体。</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烟草局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县级实施</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82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国家林草局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林草种子（林木良种籽粒、穗条等繁殖材料，主要草种杂交种子及其亲本种子、常规原种种子）生产经营许可证核发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林草种子生产经营许可证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《中华人民共和国种子法》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省级林草部门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不再要求申请人提供经营场所权属证明、生产用地用途证明等材料。</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1.开展“双随机、一公开”监管，发现违法违规行为要依法查处并公开结果。2.加强信用监管，建立企业信用记录并依法公开，依法依规对失信主体开展失信惩戒。3.发挥行业协会自律作用。</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自然资源和规划局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pacing w:val="-6"/>
                <w:kern w:val="0"/>
                <w:sz w:val="18"/>
                <w:szCs w:val="18"/>
                <w:u w:val="none"/>
                <w:lang w:val="en-US" w:eastAsia="zh-CN" w:bidi="ar"/>
              </w:rPr>
            </w:pPr>
            <w:r>
              <w:rPr>
                <w:rFonts w:hint="eastAsia" w:ascii="仿宋_GB2312" w:hAnsi="宋体" w:eastAsia="仿宋_GB2312" w:cs="仿宋_GB2312"/>
                <w:i w:val="0"/>
                <w:iCs w:val="0"/>
                <w:color w:val="000000"/>
                <w:kern w:val="0"/>
                <w:sz w:val="18"/>
                <w:szCs w:val="18"/>
                <w:u w:val="none"/>
                <w:lang w:val="en-US" w:eastAsia="zh-CN" w:bidi="ar"/>
              </w:rPr>
              <w:t>“主要草种</w:t>
            </w:r>
            <w:r>
              <w:rPr>
                <w:rFonts w:hint="eastAsia" w:ascii="仿宋_GB2312" w:hAnsi="宋体" w:eastAsia="仿宋_GB2312" w:cs="仿宋_GB2312"/>
                <w:i w:val="0"/>
                <w:iCs w:val="0"/>
                <w:color w:val="000000"/>
                <w:spacing w:val="-6"/>
                <w:kern w:val="0"/>
                <w:sz w:val="18"/>
                <w:szCs w:val="18"/>
                <w:u w:val="none"/>
                <w:lang w:val="en-US" w:eastAsia="zh-CN" w:bidi="ar"/>
              </w:rPr>
              <w:t>杂交种子及其亲本种子、常规原种种子的经营许可证的核发”省级部分权限委托市级实施</w:t>
            </w:r>
          </w:p>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“林木良种种子的生产经营和选育生产经营相结合的林木种子生产经营许可证核发”县级审核，省级核发</w:t>
            </w:r>
            <w:r>
              <w:rPr>
                <w:rFonts w:hint="eastAsia" w:ascii="仿宋_GB2312" w:hAnsi="宋体" w:eastAsia="仿宋_GB2312" w:cs="仿宋_GB2312"/>
                <w:i w:val="0"/>
                <w:iCs w:val="0"/>
                <w:color w:val="000000"/>
                <w:spacing w:val="-6"/>
                <w:kern w:val="0"/>
                <w:sz w:val="18"/>
                <w:szCs w:val="18"/>
                <w:u w:val="none"/>
                <w:lang w:val="en-US" w:eastAsia="zh-CN" w:bidi="ar"/>
              </w:rPr>
              <w:br w:type="textWrapping"/>
            </w:r>
            <w:r>
              <w:rPr>
                <w:rFonts w:hint="eastAsia" w:ascii="仿宋_GB2312" w:hAnsi="宋体" w:eastAsia="仿宋_GB2312" w:cs="仿宋_GB2312"/>
                <w:i w:val="0"/>
                <w:iCs w:val="0"/>
                <w:color w:val="000000"/>
                <w:spacing w:val="-6"/>
                <w:kern w:val="0"/>
                <w:sz w:val="18"/>
                <w:szCs w:val="18"/>
                <w:u w:val="none"/>
                <w:lang w:val="en-US" w:eastAsia="zh-CN" w:bidi="ar"/>
              </w:rPr>
              <w:t>依据：冀审改办〔2020〕42号</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83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国家林草局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省级权限内国家重点保护陆生野生动物人工繁育许可证核发（除已制定人工繁育技术标准的物种和列入人工繁育国家重点保护陆生野生动物目录的物种外）</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国家重点保护陆生野生动物人工繁育许可证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pacing w:val="-11"/>
                <w:sz w:val="18"/>
                <w:szCs w:val="18"/>
                <w:u w:val="none"/>
              </w:rPr>
            </w:pPr>
            <w:r>
              <w:rPr>
                <w:rFonts w:hint="eastAsia" w:ascii="仿宋_GB2312" w:hAnsi="宋体" w:eastAsia="仿宋_GB2312" w:cs="仿宋_GB2312"/>
                <w:i w:val="0"/>
                <w:iCs w:val="0"/>
                <w:color w:val="000000"/>
                <w:spacing w:val="-11"/>
                <w:kern w:val="0"/>
                <w:sz w:val="18"/>
                <w:szCs w:val="18"/>
                <w:u w:val="none"/>
                <w:lang w:val="en-US" w:eastAsia="zh-CN" w:bidi="ar"/>
              </w:rPr>
              <w:t>《中华人民共和国野生动物保护法》</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省级林草部门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1.对申请增加繁育种类的不再要求申请人提供原驯养繁殖许可证和相关批准文件等材料。2.进一步优化审批流程，规范专家评审。</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1.严格执行行业标准和规范，针对不同物种采取差别化、精细化管理方式。2.加强信用监管，依法依规对失信主体开展失信惩戒。3.组织开展行业培训。4.发挥行业协会自律作用。</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自然资源和规划局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县级初审</w:t>
            </w:r>
          </w:p>
        </w:tc>
      </w:tr>
      <w:tr>
        <w:trPr>
          <w:trHeight w:val="2298"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84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国家文物局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文物保护工程勘察设计乙级资质审批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文物保护工程勘察设计资质证书</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pacing w:val="-11"/>
                <w:sz w:val="18"/>
                <w:szCs w:val="18"/>
                <w:u w:val="none"/>
              </w:rPr>
            </w:pPr>
            <w:r>
              <w:rPr>
                <w:rFonts w:hint="eastAsia" w:ascii="仿宋_GB2312" w:hAnsi="宋体" w:eastAsia="仿宋_GB2312" w:cs="仿宋_GB2312"/>
                <w:i w:val="0"/>
                <w:iCs w:val="0"/>
                <w:color w:val="000000"/>
                <w:spacing w:val="-11"/>
                <w:kern w:val="0"/>
                <w:sz w:val="18"/>
                <w:szCs w:val="18"/>
                <w:u w:val="none"/>
                <w:lang w:val="en-US" w:eastAsia="zh-CN" w:bidi="ar"/>
              </w:rPr>
              <w:t>《中华人民共和国文物保护法》《中华人民共和国文物保护法实施条例》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省级文物部门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不再要求申请人提供企业章程、主要设备发票等材料。</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1.依法及时处理投诉举报。2.加强对文物保护工程实施单位的日常监督管理，针对发现的普遍性和突出问题开展专项检查。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文旅局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市级、县级按职责权限进行初审和审核</w:t>
            </w:r>
          </w:p>
        </w:tc>
      </w:tr>
      <w:tr>
        <w:tblPrEx>
          <w:tblCellMar>
            <w:top w:w="0" w:type="dxa"/>
            <w:left w:w="108" w:type="dxa"/>
            <w:bottom w:w="0" w:type="dxa"/>
            <w:right w:w="108" w:type="dxa"/>
          </w:tblCellMar>
        </w:tblPrEx>
        <w:trPr>
          <w:trHeight w:val="231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85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国家文物局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文物保护工程施工二级资质审批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文物保护工程施工资质证书</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pacing w:val="-11"/>
                <w:sz w:val="18"/>
                <w:szCs w:val="18"/>
                <w:u w:val="none"/>
              </w:rPr>
            </w:pPr>
            <w:r>
              <w:rPr>
                <w:rFonts w:hint="eastAsia" w:ascii="仿宋_GB2312" w:hAnsi="宋体" w:eastAsia="仿宋_GB2312" w:cs="仿宋_GB2312"/>
                <w:i w:val="0"/>
                <w:iCs w:val="0"/>
                <w:color w:val="000000"/>
                <w:spacing w:val="-11"/>
                <w:kern w:val="0"/>
                <w:sz w:val="18"/>
                <w:szCs w:val="18"/>
                <w:u w:val="none"/>
                <w:lang w:val="en-US" w:eastAsia="zh-CN" w:bidi="ar"/>
              </w:rPr>
              <w:t>《中华人民共和国文物保护法》《中华人民共和国文物保护法实施条例》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省级文物部门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不再要求申请人提供企业章程、主要设备发票等材料。</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1.依法及时处理投诉举报。2.加强对文物保护工程实施单位的日常监督管理，针对发现的普遍性和突出问题开展专项检查。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文旅局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市级、县级按职责权限进行初审和审核</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86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国家文物局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文物保护工程监理乙级资质审批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文物保护工程监理资质证书</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《中华人民共和国文物保护法》《中华人民共和国文物保护法实施条例》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省级文物部门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2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不再要求申请人提供企业章程、主要设备发票等材料。</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2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1.依法及时处理投诉举报。2.加强对文物保护工程实施单位的日常监督管理，针对发现的普遍性和突出问题开展专项检查。</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文旅局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市级、县级按职责权限进行初审和审核</w:t>
            </w:r>
          </w:p>
        </w:tc>
      </w:tr>
      <w:tr>
        <w:tblPrEx>
          <w:tblCellMar>
            <w:top w:w="0" w:type="dxa"/>
            <w:left w:w="108" w:type="dxa"/>
            <w:bottom w:w="0" w:type="dxa"/>
            <w:right w:w="108" w:type="dxa"/>
          </w:tblCellMar>
        </w:tblPrEx>
        <w:trPr>
          <w:trHeight w:val="283"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87</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国家药监局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药品零售企业许可</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药品经营许可证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《中华人民共和国药品管理法》《中华人民共和国药品管理法实施条例》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设区的市、县级药监部门或行政审批局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bookmarkStart w:id="0" w:name="_GoBack"/>
            <w:bookmarkEnd w:id="0"/>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不再要求申请人提供营业执照等材料。</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1.落实“四个最严”要求，制定年度监管计划，突出监管重点，强化风险控制。2.通过日常监管督促企业不断完善、改进质量管理体系，持续合法合规经营。3.对违法违规行为，依法严厉查处并公开曝光。</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pacing w:val="-6"/>
                <w:sz w:val="18"/>
                <w:szCs w:val="18"/>
                <w:u w:val="none"/>
              </w:rPr>
            </w:pPr>
            <w:r>
              <w:rPr>
                <w:rFonts w:hint="eastAsia" w:ascii="仿宋_GB2312" w:hAnsi="宋体" w:eastAsia="仿宋_GB2312" w:cs="仿宋_GB2312"/>
                <w:i w:val="0"/>
                <w:iCs w:val="0"/>
                <w:color w:val="000000"/>
                <w:spacing w:val="-6"/>
                <w:kern w:val="0"/>
                <w:sz w:val="18"/>
                <w:szCs w:val="18"/>
                <w:u w:val="none"/>
                <w:lang w:val="en-US" w:eastAsia="zh-CN" w:bidi="ar"/>
              </w:rPr>
              <w:t>1.已下放，依据：石政办函〔2013〕103号</w:t>
            </w:r>
            <w:r>
              <w:rPr>
                <w:rFonts w:hint="eastAsia" w:ascii="仿宋_GB2312" w:hAnsi="宋体" w:eastAsia="仿宋_GB2312" w:cs="仿宋_GB2312"/>
                <w:i w:val="0"/>
                <w:iCs w:val="0"/>
                <w:color w:val="000000"/>
                <w:spacing w:val="-6"/>
                <w:kern w:val="0"/>
                <w:sz w:val="18"/>
                <w:szCs w:val="18"/>
                <w:u w:val="none"/>
                <w:lang w:val="en-US" w:eastAsia="zh-CN" w:bidi="ar"/>
              </w:rPr>
              <w:br w:type="textWrapping"/>
            </w:r>
            <w:r>
              <w:rPr>
                <w:rFonts w:hint="eastAsia" w:ascii="仿宋_GB2312" w:hAnsi="宋体" w:eastAsia="仿宋_GB2312" w:cs="仿宋_GB2312"/>
                <w:i w:val="0"/>
                <w:iCs w:val="0"/>
                <w:color w:val="000000"/>
                <w:spacing w:val="-6"/>
                <w:kern w:val="0"/>
                <w:sz w:val="18"/>
                <w:szCs w:val="18"/>
                <w:u w:val="none"/>
                <w:lang w:val="en-US" w:eastAsia="zh-CN" w:bidi="ar"/>
              </w:rPr>
              <w:t>2.市、县行政审批局共同办理，市级仅负责连锁门店许可审批，其余由县级审批，依据：石政办发〔2020〕14号</w:t>
            </w:r>
          </w:p>
        </w:tc>
      </w:tr>
      <w:tr>
        <w:tblPrEx>
          <w:tblCellMar>
            <w:top w:w="0" w:type="dxa"/>
            <w:left w:w="108" w:type="dxa"/>
            <w:bottom w:w="0" w:type="dxa"/>
            <w:right w:w="108" w:type="dxa"/>
          </w:tblCellMar>
        </w:tblPrEx>
        <w:trPr>
          <w:trHeight w:val="1696"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88</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国家电影局</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电影放映单位设立审批</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电影放映经营许可证</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0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《中华人民共和国电影产业促进法》《电影管理条例》</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县级电影主管部门或行政审批局</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实行申请材料网上预审。</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1.开展“双随机、一公开”监管，畅通投诉举报渠道。2.发挥行业协会自律作用。</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行政审批局</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both"/>
              <w:rPr>
                <w:rFonts w:hint="eastAsia" w:ascii="仿宋_GB2312" w:hAnsi="宋体" w:eastAsia="仿宋_GB2312" w:cs="仿宋_GB2312"/>
                <w:i w:val="0"/>
                <w:iCs w:val="0"/>
                <w:color w:val="000000"/>
                <w:sz w:val="18"/>
                <w:szCs w:val="18"/>
                <w:u w:val="none"/>
              </w:rPr>
            </w:pPr>
          </w:p>
        </w:tc>
      </w:tr>
    </w:tbl>
    <w:p/>
    <w:sectPr>
      <w:pgSz w:w="16838" w:h="11905" w:orient="landscape"/>
      <w:pgMar w:top="1531" w:right="1701" w:bottom="1417" w:left="1701" w:header="851" w:footer="1417" w:gutter="0"/>
      <w:pgNumType w:fmt="numberInDash" w:start="1"/>
      <w:cols w:space="0" w:num="1"/>
      <w:rtlGutter w:val="0"/>
      <w:docGrid w:type="lines" w:linePitch="33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FD5718"/>
    <w:rsid w:val="149F4C16"/>
    <w:rsid w:val="168725C1"/>
    <w:rsid w:val="1CDE7D12"/>
    <w:rsid w:val="2FAB4197"/>
    <w:rsid w:val="41661A3C"/>
    <w:rsid w:val="48FD5718"/>
    <w:rsid w:val="643D708E"/>
    <w:rsid w:val="67CC0464"/>
    <w:rsid w:val="680012EB"/>
    <w:rsid w:val="799774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40</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2021-09-04T04:11:00Z</dcterms:created>
  <dc:creator>打字门市</dc:creator>
  <cp:lastModifiedBy>打字门市</cp:lastModifiedBy>
  <cp:lastPrinted>2021-09-04T04:25:00Z</cp:lastPrinted>
  <dcterms:modified xsi:type="dcterms:W3CDTF">2021-09-10T02:26:32Z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82F68A1827704EBFA2452B876EF05A2A</vt:lpwstr>
  </property>
</Properties>
</file>