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2336"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2336;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XMNuXcAAAADQEAAA8AAAAAAAAAAQAgAAAAIgAAAGRycy9kb3ducmV2LnhtbFBL&#10;AQIUABQAAAAIAIdO4kDxxTSgKwIAACQEAAAOAAAAAAAAAAEAIAAAACsBAABkcnMvZTJvRG9jLnht&#10;bFBLBQYAAAAABgAGAFkBAADIBQ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336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3"/>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中共高邑县委党史研究室</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rPr>
          <w:rFonts w:ascii="黑体" w:hAnsi="黑体" w:eastAsia="黑体" w:cs="黑体"/>
          <w:sz w:val="72"/>
          <w:szCs w:val="96"/>
        </w:rPr>
      </w:pPr>
      <w:r>
        <w:rPr>
          <w:rFonts w:hint="eastAsia" w:ascii="黑体" w:hAnsi="黑体" w:eastAsia="黑体" w:cs="黑体"/>
          <w:sz w:val="72"/>
          <w:szCs w:val="96"/>
          <w:lang w:eastAsia="zh-CN"/>
        </w:rPr>
        <w:t>中共高邑县委党史研究室</w:t>
      </w: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2096"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2096;v-text-anchor:middle;mso-width-relative:page;mso-height-relative:page;" fillcolor="#7F7F7F [1612]" filled="t" stroked="t" coordsize="21600,21600" o:gfxdata="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JOCXofcAAAADQEAAA8A&#10;AAAAAAAAAQAgAAAAIgAAAGRycy9kb3ducmV2LnhtbFBLAQIUABQAAAAIAIdO4kCVxoSdhQIAACMF&#10;AAAOAAAAAAAAAAEAIAAAACsBAABkcnMvZTJvRG9jLnhtbFBLBQYAAAAABgAGAFkBAAAiBgAAAAA=&#10;">
                <v:fill type="pattern" on="t" color2="#FFFFFF [3212]"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4"/>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szCs w:val="32"/>
        </w:rPr>
      </w:pPr>
      <w:r>
        <w:rPr>
          <w:rFonts w:hint="eastAsia" w:ascii="方正楷体_GBK" w:eastAsia="方正楷体_GBK"/>
          <w:b/>
          <w:sz w:val="32"/>
          <w:szCs w:val="32"/>
        </w:rPr>
        <w:t>（一）</w:t>
      </w:r>
      <w:r>
        <w:rPr>
          <w:rFonts w:hint="eastAsia" w:ascii="仿宋_GB2312" w:hAnsi="仿宋_GB2312" w:eastAsia="仿宋_GB2312"/>
          <w:sz w:val="32"/>
          <w:szCs w:val="32"/>
        </w:rPr>
        <w:t>承担党史宣传教育工作。围绕党委、政府中心工作，充分发挥党史资政育人作用。举办全县党史干部业务培训班。努力建设一支具有丰富理论素养和研究能力的党史工作者队伍。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szCs w:val="32"/>
        </w:rPr>
      </w:pPr>
      <w:r>
        <w:rPr>
          <w:rFonts w:hint="eastAsia" w:ascii="仿宋_GB2312" w:hAnsi="仿宋_GB2312" w:eastAsia="仿宋_GB2312"/>
          <w:sz w:val="32"/>
          <w:szCs w:val="32"/>
        </w:rPr>
        <w:t>（二）收集整理历史资料、人物回忆录，搜集、整理和研究县内有关县历史的信息资料。征集中共我县历史上的重要人物资料并进行综合研究，完成部分传稿。</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szCs w:val="32"/>
        </w:rPr>
      </w:pPr>
      <w:r>
        <w:rPr>
          <w:rFonts w:hint="eastAsia" w:ascii="仿宋_GB2312" w:hAnsi="仿宋_GB2312" w:eastAsia="仿宋_GB2312"/>
          <w:sz w:val="32"/>
          <w:szCs w:val="32"/>
        </w:rPr>
        <w:t>（三）负责综合事务管理工作。完成县委交办的党史方面及其他方面的工作任务，为县委解决有关党史方面的问题提供资料和意见。</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仿宋_GB2312" w:eastAsia="仿宋_GB2312"/>
          <w:sz w:val="32"/>
          <w:szCs w:val="32"/>
        </w:rPr>
        <w:t>（四）完成县委交办的党史方面及其他方面的工作任务，为县委解决有关党史方面的问题提供资料和意见。</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10"/>
        <w:tblpPr w:leftFromText="180" w:rightFromText="180" w:vertAnchor="text" w:horzAnchor="page" w:tblpXSpec="center" w:tblpY="10"/>
        <w:tblOverlap w:val="never"/>
        <w:tblW w:w="94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中共高邑县委党史研究室</w:t>
            </w:r>
          </w:p>
        </w:tc>
        <w:tc>
          <w:tcPr>
            <w:tcW w:w="2404"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参公事业单位</w:t>
            </w:r>
          </w:p>
        </w:tc>
        <w:tc>
          <w:tcPr>
            <w:tcW w:w="2622"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财政拨款</w:t>
            </w:r>
          </w:p>
        </w:tc>
      </w:tr>
    </w:tbl>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5721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5721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5824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58240;v-text-anchor:middle;mso-width-relative:page;mso-height-relative:page;" fillcolor="#7F7F7F [1612]" filled="t" stroked="t" coordsize="21600,21600" o:gfxdata="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Msg6ANwAAAAOAQAADwAA&#10;AAAAAAABACAAAAAiAAAAZHJzL2Rvd25yZXYueG1sUEsBAhQAFAAAAAgAh07iQFOWLHKEAgAAHwUA&#10;AA4AAAAAAAAAAQAgAAAAKwEAAGRycy9lMm9Eb2MueG1sUEsFBgAAAAAGAAYAWQEAACEGAAAAAA==&#10;">
                <v:fill type="pattern" on="t" color2="#FFFFFF [3212]"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8.33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19.25</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人员工资支出增加和单位项目支出增加</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59264" behindDoc="1" locked="0" layoutInCell="1" allowOverlap="1">
            <wp:simplePos x="0" y="0"/>
            <wp:positionH relativeFrom="column">
              <wp:posOffset>744220</wp:posOffset>
            </wp:positionH>
            <wp:positionV relativeFrom="paragraph">
              <wp:posOffset>62230</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51.6</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51.6</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w:t>
      </w: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47.48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92</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4.12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260" w:firstLineChars="600"/>
        <w:rPr>
          <w:rFonts w:ascii="仿宋_GB2312" w:hAnsi="Times New Roman" w:eastAsia="仿宋_GB2312" w:cs="Wingdings"/>
          <w:sz w:val="32"/>
          <w:szCs w:val="32"/>
        </w:rPr>
      </w:pPr>
      <w:r>
        <w:rPr>
          <w:rFonts w:ascii="Times New Roman" w:hAnsi="Times New Roman" w:eastAsia="宋体" w:cs="Times New Roman"/>
        </w:rPr>
        <w:drawing>
          <wp:anchor distT="0" distB="0" distL="114300" distR="114300" simplePos="0" relativeHeight="251663360" behindDoc="0" locked="0" layoutInCell="1" allowOverlap="1">
            <wp:simplePos x="0" y="0"/>
            <wp:positionH relativeFrom="column">
              <wp:posOffset>880745</wp:posOffset>
            </wp:positionH>
            <wp:positionV relativeFrom="paragraph">
              <wp:posOffset>5715</wp:posOffset>
            </wp:positionV>
            <wp:extent cx="3756025" cy="3153410"/>
            <wp:effectExtent l="4445" t="4445" r="11430" b="23495"/>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0" w:firstLineChars="200"/>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8.33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19.25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人员工资增加和单位项目增加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8.33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19.25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人员工资支出增加和单位项目支出增加</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r>
        <w:rPr>
          <w:rFonts w:hint="eastAsia" w:ascii="仿宋_GB2312" w:hAnsi="Times New Roman" w:eastAsia="仿宋_GB2312" w:cs="Wingdings"/>
          <w:sz w:val="32"/>
          <w:szCs w:val="32"/>
        </w:rPr>
        <w:drawing>
          <wp:anchor distT="0" distB="0" distL="114300" distR="114300" simplePos="0" relativeHeight="251665408" behindDoc="0" locked="0" layoutInCell="1" allowOverlap="1">
            <wp:simplePos x="0" y="0"/>
            <wp:positionH relativeFrom="column">
              <wp:posOffset>628015</wp:posOffset>
            </wp:positionH>
            <wp:positionV relativeFrom="paragraph">
              <wp:posOffset>214630</wp:posOffset>
            </wp:positionV>
            <wp:extent cx="4157980" cy="2273300"/>
            <wp:effectExtent l="0" t="0" r="13970" b="12700"/>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rPr>
          <w:rFonts w:hint="eastAsia" w:ascii="仿宋_GB2312" w:hAnsi="Times New Roman" w:eastAsia="仿宋_GB2312" w:cs="Wingdings"/>
          <w:sz w:val="32"/>
          <w:szCs w:val="32"/>
          <w:highlight w:val="yellow"/>
        </w:rPr>
      </w:pP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73600" behindDoc="0" locked="0" layoutInCell="1" allowOverlap="1">
            <wp:simplePos x="0" y="0"/>
            <wp:positionH relativeFrom="column">
              <wp:posOffset>542290</wp:posOffset>
            </wp:positionH>
            <wp:positionV relativeFrom="paragraph">
              <wp:posOffset>2839720</wp:posOffset>
            </wp:positionV>
            <wp:extent cx="4157980" cy="2273300"/>
            <wp:effectExtent l="0" t="0" r="13970" b="12700"/>
            <wp:wrapTopAndBottom/>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75.76</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16.51</w:t>
      </w:r>
      <w:r>
        <w:rPr>
          <w:rFonts w:hint="eastAsia" w:ascii="仿宋_GB2312" w:hAnsi="Times New Roman" w:eastAsia="仿宋_GB2312" w:cs="Wingdings"/>
          <w:sz w:val="32"/>
          <w:szCs w:val="32"/>
        </w:rPr>
        <w:t>万元，决算数小于预算数主要原因是</w:t>
      </w:r>
      <w:r>
        <w:rPr>
          <w:rFonts w:hint="eastAsia" w:ascii="仿宋_GB2312" w:hAnsi="Times New Roman" w:eastAsia="仿宋_GB2312" w:cs="Wingdings"/>
          <w:sz w:val="32"/>
          <w:szCs w:val="32"/>
          <w:lang w:eastAsia="zh-CN"/>
        </w:rPr>
        <w:t>单位厉行节约，减少开支</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75.76</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16.51</w:t>
      </w:r>
      <w:r>
        <w:rPr>
          <w:rFonts w:hint="eastAsia" w:ascii="仿宋_GB2312" w:hAnsi="Times New Roman" w:eastAsia="仿宋_GB2312" w:cs="Wingdings"/>
          <w:sz w:val="32"/>
          <w:szCs w:val="32"/>
        </w:rPr>
        <w:t>万元，决算数小于预算数主要原因是</w:t>
      </w:r>
      <w:r>
        <w:rPr>
          <w:rFonts w:hint="eastAsia" w:ascii="仿宋_GB2312" w:hAnsi="Times New Roman" w:eastAsia="仿宋_GB2312" w:cs="Wingdings"/>
          <w:sz w:val="32"/>
          <w:szCs w:val="32"/>
          <w:lang w:eastAsia="zh-CN"/>
        </w:rPr>
        <w:t>单位厉行节约，减少开支</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rPr>
          <w:rFonts w:ascii="仿宋_GB2312" w:hAnsi="Times New Roman" w:eastAsia="仿宋_GB2312" w:cs="Wingdings"/>
          <w:sz w:val="32"/>
          <w:szCs w:val="32"/>
          <w:highlight w:val="yellow"/>
        </w:rPr>
      </w:pP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420" w:firstLineChars="200"/>
        <w:rPr>
          <w:rFonts w:ascii="仿宋_GB2312" w:hAnsi="Times New Roman" w:eastAsia="仿宋_GB2312" w:cs="Wingdings"/>
          <w:sz w:val="32"/>
          <w:szCs w:val="32"/>
        </w:rPr>
      </w:pPr>
      <w:r>
        <w:rPr>
          <w:rFonts w:ascii="Times New Roman" w:hAnsi="Times New Roman" w:eastAsia="宋体" w:cs="Times New Roman"/>
        </w:rPr>
        <w:drawing>
          <wp:anchor distT="0" distB="0" distL="114300" distR="114300" simplePos="0" relativeHeight="251679744" behindDoc="0" locked="0" layoutInCell="1" allowOverlap="1">
            <wp:simplePos x="0" y="0"/>
            <wp:positionH relativeFrom="column">
              <wp:posOffset>727710</wp:posOffset>
            </wp:positionH>
            <wp:positionV relativeFrom="paragraph">
              <wp:posOffset>2910840</wp:posOffset>
            </wp:positionV>
            <wp:extent cx="3756025" cy="3153410"/>
            <wp:effectExtent l="4445" t="4445" r="11430" b="2349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51.6</w:t>
      </w:r>
      <w:r>
        <w:rPr>
          <w:rFonts w:hint="eastAsia" w:ascii="仿宋_GB2312" w:hAnsi="Times New Roman" w:eastAsia="仿宋_GB2312" w:cs="Wingdings"/>
          <w:sz w:val="32"/>
          <w:szCs w:val="32"/>
        </w:rPr>
        <w:t>万元，主要用于以下方面：一般公共服务（类）支出</w:t>
      </w:r>
      <w:r>
        <w:rPr>
          <w:rFonts w:hint="eastAsia" w:ascii="仿宋_GB2312" w:hAnsi="Times New Roman" w:eastAsia="仿宋_GB2312" w:cs="Wingdings"/>
          <w:sz w:val="32"/>
          <w:szCs w:val="32"/>
          <w:lang w:val="en-US" w:eastAsia="zh-CN"/>
        </w:rPr>
        <w:t>36.36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70.5</w:t>
      </w:r>
      <w:r>
        <w:rPr>
          <w:rFonts w:hint="eastAsia" w:ascii="仿宋_GB2312" w:hAnsi="Times New Roman" w:eastAsia="仿宋_GB2312" w:cs="Wingdings"/>
          <w:sz w:val="32"/>
          <w:szCs w:val="32"/>
        </w:rPr>
        <w:t>%，；公共安全类（类）支出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%；教育（类）支出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%；科学技术（类）支出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7.33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14.2</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卫生健康（类）支出2.</w:t>
      </w:r>
      <w:r>
        <w:rPr>
          <w:rFonts w:hint="eastAsia" w:ascii="仿宋_GB2312" w:hAnsi="Times New Roman" w:eastAsia="仿宋_GB2312" w:cs="DengXian-Regular"/>
          <w:sz w:val="32"/>
          <w:szCs w:val="32"/>
          <w:lang w:val="en-US" w:eastAsia="zh-CN"/>
        </w:rPr>
        <w:t>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4.9</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5.37</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10.4</w:t>
      </w:r>
      <w:r>
        <w:rPr>
          <w:rFonts w:hint="eastAsia" w:ascii="仿宋_GB2312" w:hAnsi="Times New Roman" w:eastAsia="仿宋_GB2312" w:cs="Wingdings"/>
          <w:sz w:val="32"/>
          <w:szCs w:val="32"/>
        </w:rPr>
        <w:t>%。</w: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hint="eastAsia"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47.78</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39.79</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7.69</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0.03</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0.03</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认真贯彻落实中央八项规定精神和厉行节约要求，从严控制“三公”经费支出</w:t>
      </w:r>
      <w:r>
        <w:rPr>
          <w:rFonts w:hint="eastAsia" w:ascii="仿宋_GB2312" w:hAnsi="Times New Roman" w:eastAsia="仿宋_GB2312" w:cs="Wingdings"/>
          <w:sz w:val="32"/>
          <w:szCs w:val="32"/>
        </w:rPr>
        <w:t>；较2019年度增加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，主要是未发生因公出国（境）费支出</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主要是未发生公务用车购置及运行维护费支出</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2019年度决算支出持平</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w:t>
      </w:r>
      <w:bookmarkStart w:id="0" w:name="_GoBack"/>
      <w:bookmarkEnd w:id="0"/>
      <w:r>
        <w:rPr>
          <w:rFonts w:hint="eastAsia" w:ascii="仿宋_GB2312" w:hAnsi="Times New Roman" w:eastAsia="仿宋_GB2312" w:cs="Wingdings"/>
          <w:sz w:val="32"/>
          <w:szCs w:val="32"/>
        </w:rPr>
        <w:t>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未发生公务用车购置费支出</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万元。公车运行维护费支出较预算增加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未发生公务用车运行维护费支出</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0.03</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单位贯彻落实上级关于厉行节约的各项要求，进一步严格控制“三公经费”的开支</w:t>
      </w:r>
      <w:r>
        <w:rPr>
          <w:rFonts w:hint="eastAsia" w:ascii="仿宋_GB2312" w:hAnsi="Times New Roman" w:eastAsia="仿宋_GB2312" w:cs="Wingdings"/>
          <w:sz w:val="32"/>
          <w:szCs w:val="32"/>
        </w:rPr>
        <w:t>；较上年度增加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4.12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Times New Roman" w:eastAsia="仿宋_GB2312" w:cs="DengXian-Regular"/>
          <w:sz w:val="32"/>
          <w:szCs w:val="32"/>
          <w:lang w:val="en-US" w:eastAsia="zh-Hans"/>
        </w:rPr>
        <w:t>组织对</w:t>
      </w:r>
      <w:r>
        <w:rPr>
          <w:rFonts w:hint="eastAsia" w:ascii="仿宋_GB2312" w:hAnsi="Times New Roman" w:eastAsia="仿宋_GB2312" w:cs="DengXian-Regular"/>
          <w:sz w:val="32"/>
          <w:szCs w:val="32"/>
        </w:rPr>
        <w:t>《中共高邑简史》第二卷</w:t>
      </w:r>
      <w:r>
        <w:rPr>
          <w:rFonts w:hint="eastAsia" w:ascii="仿宋_GB2312" w:hAnsi="Times New Roman" w:eastAsia="仿宋_GB2312" w:cs="DengXian-Regular"/>
          <w:sz w:val="32"/>
          <w:szCs w:val="32"/>
          <w:lang w:eastAsia="zh-CN"/>
        </w:rPr>
        <w:t>等</w:t>
      </w:r>
      <w:r>
        <w:rPr>
          <w:rFonts w:hint="eastAsia" w:ascii="仿宋_GB2312" w:hAnsi="Times New Roman" w:eastAsia="仿宋_GB2312" w:cs="DengXian-Regular"/>
          <w:sz w:val="32"/>
          <w:szCs w:val="32"/>
          <w:lang w:val="en-US" w:eastAsia="zh-Hans"/>
        </w:rPr>
        <w:t>项目开展了部门评价</w:t>
      </w:r>
      <w:r>
        <w:rPr>
          <w:rFonts w:hint="default" w:ascii="仿宋_GB2312" w:hAnsi="Times New Roman" w:eastAsia="仿宋_GB2312" w:cs="DengXian-Regular"/>
          <w:sz w:val="32"/>
          <w:szCs w:val="32"/>
          <w:lang w:eastAsia="zh-Hans"/>
        </w:rPr>
        <w:t>，</w:t>
      </w:r>
      <w:r>
        <w:rPr>
          <w:rFonts w:hint="eastAsia" w:ascii="仿宋_GB2312" w:hAnsi="Times New Roman" w:eastAsia="仿宋_GB2312" w:cs="DengXian-Regular"/>
          <w:sz w:val="32"/>
          <w:szCs w:val="32"/>
          <w:lang w:val="en-US" w:eastAsia="zh-Hans"/>
        </w:rPr>
        <w:t>涉及一般公共预算支出</w:t>
      </w:r>
      <w:r>
        <w:rPr>
          <w:rFonts w:hint="eastAsia" w:ascii="仿宋_GB2312" w:hAnsi="Times New Roman" w:eastAsia="仿宋_GB2312" w:cs="DengXian-Regular"/>
          <w:sz w:val="32"/>
          <w:szCs w:val="32"/>
          <w:lang w:val="en-US" w:eastAsia="zh-CN"/>
        </w:rPr>
        <w:t>4.12</w:t>
      </w:r>
      <w:r>
        <w:rPr>
          <w:rFonts w:hint="eastAsia" w:ascii="仿宋_GB2312" w:hAnsi="Times New Roman" w:eastAsia="仿宋_GB2312" w:cs="DengXian-Regular"/>
          <w:sz w:val="32"/>
          <w:szCs w:val="32"/>
          <w:lang w:val="en-US" w:eastAsia="zh-Hans"/>
        </w:rPr>
        <w:t>万元</w:t>
      </w:r>
      <w:r>
        <w:rPr>
          <w:rFonts w:hint="default" w:ascii="仿宋_GB2312" w:hAnsi="Times New Roman" w:eastAsia="仿宋_GB2312" w:cs="DengXian-Regular"/>
          <w:sz w:val="32"/>
          <w:szCs w:val="32"/>
          <w:lang w:eastAsia="zh-Hans"/>
        </w:rPr>
        <w:t>。</w:t>
      </w:r>
      <w:r>
        <w:rPr>
          <w:rFonts w:hint="eastAsia" w:ascii="仿宋_GB2312" w:hAnsi="仿宋_GB2312" w:eastAsia="仿宋_GB2312" w:cs="仿宋_GB2312"/>
          <w:sz w:val="32"/>
          <w:szCs w:val="32"/>
        </w:rPr>
        <w:t>从评价情况来看，</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年单位积极履职，通过加强预算收支管理，不断梳理内部管理流程，建立健全内部管理制度，部门整体支出管理水平得到提升。经自评，较好的完成了年度工作目标，综合评价等级为“优秀”。</w:t>
      </w:r>
    </w:p>
    <w:p>
      <w:pPr>
        <w:numPr>
          <w:ilvl w:val="0"/>
          <w:numId w:val="0"/>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《中共高邑简史》第二卷项目绩效自评综述：根据年初设定的绩效目标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《中共高邑简史》第二卷项目绩效自评得分为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一是开展外宣活动2次；二是</w:t>
      </w:r>
      <w:r>
        <w:rPr>
          <w:rFonts w:hint="eastAsia" w:ascii="仿宋_GB2312" w:hAnsi="仿宋_GB2312" w:eastAsia="仿宋_GB2312" w:cs="仿宋_GB2312"/>
          <w:sz w:val="32"/>
          <w:szCs w:val="32"/>
          <w:lang w:eastAsia="zh-CN"/>
        </w:rPr>
        <w:t>《中共高邑简史》第二卷的质量达标率</w:t>
      </w:r>
      <w:r>
        <w:rPr>
          <w:rFonts w:hint="eastAsia" w:ascii="仿宋_GB2312" w:hAnsi="仿宋_GB2312" w:eastAsia="仿宋_GB2312" w:cs="仿宋_GB2312"/>
          <w:sz w:val="32"/>
          <w:szCs w:val="32"/>
          <w:lang w:val="en-US" w:eastAsia="zh-CN"/>
        </w:rPr>
        <w:t>100%；三是</w:t>
      </w:r>
      <w:r>
        <w:rPr>
          <w:rFonts w:hint="eastAsia" w:ascii="仿宋_GB2312" w:hAnsi="仿宋_GB2312" w:eastAsia="仿宋_GB2312" w:cs="仿宋_GB2312"/>
          <w:sz w:val="32"/>
          <w:szCs w:val="32"/>
          <w:lang w:eastAsia="zh-CN"/>
        </w:rPr>
        <w:t>《中共高邑简史》第二卷的工作完成及时率</w:t>
      </w:r>
      <w:r>
        <w:rPr>
          <w:rFonts w:hint="eastAsia" w:ascii="仿宋_GB2312" w:hAnsi="仿宋_GB2312" w:eastAsia="仿宋_GB2312" w:cs="仿宋_GB2312"/>
          <w:sz w:val="32"/>
          <w:szCs w:val="32"/>
          <w:lang w:val="en-US" w:eastAsia="zh-CN"/>
        </w:rPr>
        <w:t>100%；四是对相关部门的工作支持情况达优；五是对党的历史记载的连续性达优；</w:t>
      </w:r>
      <w:r>
        <w:rPr>
          <w:rFonts w:hint="eastAsia" w:ascii="仿宋_GB2312" w:hAnsi="仿宋_GB2312" w:eastAsia="仿宋_GB2312" w:cs="仿宋_GB2312"/>
          <w:sz w:val="32"/>
          <w:szCs w:val="32"/>
        </w:rPr>
        <w:t>发现的主要问题</w:t>
      </w:r>
      <w:r>
        <w:rPr>
          <w:rFonts w:hint="eastAsia" w:ascii="仿宋_GB2312" w:hAnsi="仿宋_GB2312" w:eastAsia="仿宋_GB2312" w:cs="仿宋_GB2312"/>
          <w:sz w:val="32"/>
          <w:szCs w:val="32"/>
          <w:lang w:eastAsia="zh-CN"/>
        </w:rPr>
        <w:t>是</w:t>
      </w:r>
      <w:r>
        <w:rPr>
          <w:rFonts w:hint="eastAsia" w:ascii="仿宋_GB2312" w:hAnsi="仿宋_GB2312" w:eastAsia="仿宋_GB2312" w:cs="仿宋_GB2312"/>
          <w:sz w:val="32"/>
          <w:szCs w:val="32"/>
        </w:rPr>
        <w:t>：单位开展党史宣传教育活动没有达到预期次数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下一步改进措施：我单位将制定党史宣传活动方案，并严格按照该方案执行，让党史宣传教育活动保质保量。</w:t>
      </w:r>
    </w:p>
    <w:tbl>
      <w:tblPr>
        <w:tblStyle w:val="9"/>
        <w:tblW w:w="10535" w:type="dxa"/>
        <w:jc w:val="center"/>
        <w:tblInd w:w="0" w:type="dxa"/>
        <w:shd w:val="clear" w:color="auto" w:fill="auto"/>
        <w:tblLayout w:type="fixed"/>
        <w:tblCellMar>
          <w:top w:w="0" w:type="dxa"/>
          <w:left w:w="0" w:type="dxa"/>
          <w:bottom w:w="0" w:type="dxa"/>
          <w:right w:w="0" w:type="dxa"/>
        </w:tblCellMar>
      </w:tblPr>
      <w:tblGrid>
        <w:gridCol w:w="3230"/>
        <w:gridCol w:w="838"/>
        <w:gridCol w:w="838"/>
        <w:gridCol w:w="883"/>
        <w:gridCol w:w="1000"/>
        <w:gridCol w:w="838"/>
        <w:gridCol w:w="838"/>
        <w:gridCol w:w="2070"/>
      </w:tblGrid>
      <w:tr>
        <w:tblPrEx>
          <w:shd w:val="clear" w:color="auto" w:fill="auto"/>
          <w:tblLayout w:type="fixed"/>
          <w:tblCellMar>
            <w:top w:w="0" w:type="dxa"/>
            <w:left w:w="0" w:type="dxa"/>
            <w:bottom w:w="0" w:type="dxa"/>
            <w:right w:w="0" w:type="dxa"/>
          </w:tblCellMar>
        </w:tblPrEx>
        <w:trPr>
          <w:trHeight w:val="510" w:hRule="atLeast"/>
          <w:jc w:val="center"/>
        </w:trPr>
        <w:tc>
          <w:tcPr>
            <w:tcW w:w="1053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tblLayout w:type="fixed"/>
          <w:tblCellMar>
            <w:top w:w="0" w:type="dxa"/>
            <w:left w:w="0" w:type="dxa"/>
            <w:bottom w:w="0" w:type="dxa"/>
            <w:right w:w="0" w:type="dxa"/>
          </w:tblCellMar>
        </w:tblPrEx>
        <w:trPr>
          <w:trHeight w:val="300" w:hRule="atLeast"/>
          <w:jc w:val="center"/>
        </w:trPr>
        <w:tc>
          <w:tcPr>
            <w:tcW w:w="1053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tblLayout w:type="fixed"/>
          <w:tblCellMar>
            <w:top w:w="0" w:type="dxa"/>
            <w:left w:w="0" w:type="dxa"/>
            <w:bottom w:w="0" w:type="dxa"/>
            <w:right w:w="0" w:type="dxa"/>
          </w:tblCellMar>
        </w:tblPrEx>
        <w:trPr>
          <w:trHeight w:val="360" w:hRule="atLeast"/>
          <w:jc w:val="center"/>
        </w:trPr>
        <w:tc>
          <w:tcPr>
            <w:tcW w:w="323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填报单位：中共高邑县委党史研究室</w:t>
            </w:r>
          </w:p>
        </w:tc>
        <w:tc>
          <w:tcPr>
            <w:tcW w:w="838"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660" w:hRule="atLeast"/>
          <w:jc w:val="center"/>
        </w:trPr>
        <w:tc>
          <w:tcPr>
            <w:tcW w:w="32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Style w:val="13"/>
                <w:rFonts w:eastAsia="宋体"/>
                <w:lang w:val="en-US" w:eastAsia="zh-CN" w:bidi="ar"/>
              </w:rPr>
              <w:t xml:space="preserve"> </w:t>
            </w:r>
            <w:r>
              <w:rPr>
                <w:rStyle w:val="14"/>
                <w:lang w:val="en-US" w:eastAsia="zh-CN" w:bidi="ar"/>
              </w:rPr>
              <w:t>基本情况</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7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《中共高邑简史》第二卷</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7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中共高邑县委党史研究室</w:t>
            </w:r>
          </w:p>
        </w:tc>
      </w:tr>
      <w:tr>
        <w:tblPrEx>
          <w:tblLayout w:type="fixed"/>
          <w:tblCellMar>
            <w:top w:w="0" w:type="dxa"/>
            <w:left w:w="0" w:type="dxa"/>
            <w:bottom w:w="0" w:type="dxa"/>
            <w:right w:w="0" w:type="dxa"/>
          </w:tblCellMar>
        </w:tblPrEx>
        <w:trPr>
          <w:trHeight w:val="540" w:hRule="atLeast"/>
          <w:jc w:val="center"/>
        </w:trPr>
        <w:tc>
          <w:tcPr>
            <w:tcW w:w="3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6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8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6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Layout w:type="fixed"/>
          <w:tblCellMar>
            <w:top w:w="0" w:type="dxa"/>
            <w:left w:w="0" w:type="dxa"/>
            <w:bottom w:w="0" w:type="dxa"/>
            <w:right w:w="0" w:type="dxa"/>
          </w:tblCellMar>
        </w:tblPrEx>
        <w:trPr>
          <w:trHeight w:val="42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w:t>
            </w: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Layout w:type="fixed"/>
          <w:tblCellMar>
            <w:top w:w="0" w:type="dxa"/>
            <w:left w:w="0" w:type="dxa"/>
            <w:bottom w:w="0" w:type="dxa"/>
            <w:right w:w="0" w:type="dxa"/>
          </w:tblCellMar>
        </w:tblPrEx>
        <w:trPr>
          <w:trHeight w:val="62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w:t>
            </w: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0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00" w:hRule="atLeast"/>
          <w:jc w:val="center"/>
        </w:trPr>
        <w:tc>
          <w:tcPr>
            <w:tcW w:w="323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55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26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Layout w:type="fixed"/>
          <w:tblCellMar>
            <w:top w:w="0" w:type="dxa"/>
            <w:left w:w="0" w:type="dxa"/>
            <w:bottom w:w="0" w:type="dxa"/>
            <w:right w:w="0" w:type="dxa"/>
          </w:tblCellMar>
        </w:tblPrEx>
        <w:trPr>
          <w:trHeight w:val="320" w:hRule="atLeast"/>
          <w:jc w:val="center"/>
        </w:trPr>
        <w:tc>
          <w:tcPr>
            <w:tcW w:w="323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完成《中共高邑简史》第二卷的出版</w:t>
            </w:r>
          </w:p>
        </w:tc>
        <w:tc>
          <w:tcPr>
            <w:tcW w:w="26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《中共高邑县历史》第二卷编印圆满完成。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360" w:hRule="atLeast"/>
          <w:jc w:val="center"/>
        </w:trPr>
        <w:tc>
          <w:tcPr>
            <w:tcW w:w="323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60" w:hRule="atLeast"/>
          <w:jc w:val="center"/>
        </w:trPr>
        <w:tc>
          <w:tcPr>
            <w:tcW w:w="3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 年度绩效指标完成情况</w:t>
            </w:r>
          </w:p>
        </w:tc>
        <w:tc>
          <w:tcPr>
            <w:tcW w:w="83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883"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83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83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207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Layout w:type="fixed"/>
          <w:tblCellMar>
            <w:top w:w="0" w:type="dxa"/>
            <w:left w:w="0" w:type="dxa"/>
            <w:bottom w:w="0" w:type="dxa"/>
            <w:right w:w="0" w:type="dxa"/>
          </w:tblCellMar>
        </w:tblPrEx>
        <w:trPr>
          <w:trHeight w:val="64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 （14分）</w:t>
            </w:r>
          </w:p>
        </w:tc>
        <w:tc>
          <w:tcPr>
            <w:tcW w:w="188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开展外宣活动数量</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0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 （12分）</w:t>
            </w:r>
          </w:p>
        </w:tc>
        <w:tc>
          <w:tcPr>
            <w:tcW w:w="1883"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工作质量达标率</w:t>
            </w:r>
          </w:p>
        </w:tc>
        <w:tc>
          <w:tcPr>
            <w:tcW w:w="83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83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07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时效指标（14分）</w:t>
            </w:r>
          </w:p>
        </w:tc>
        <w:tc>
          <w:tcPr>
            <w:tcW w:w="188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工作完成及时率</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84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18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效益指标（50分）</w:t>
            </w:r>
          </w:p>
        </w:tc>
        <w:tc>
          <w:tcPr>
            <w:tcW w:w="83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社会效益指标(25分)</w:t>
            </w:r>
          </w:p>
        </w:tc>
        <w:tc>
          <w:tcPr>
            <w:tcW w:w="188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对相关部门工作支持情况</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8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可持续影响指标（25分）</w:t>
            </w:r>
          </w:p>
        </w:tc>
        <w:tc>
          <w:tcPr>
            <w:tcW w:w="188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党的历史记载的连续性</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w:t>
            </w:r>
          </w:p>
        </w:tc>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w:t>
            </w: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7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nil"/>
              <w:left w:val="nil"/>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60" w:hRule="atLeast"/>
          <w:jc w:val="center"/>
        </w:trPr>
        <w:tc>
          <w:tcPr>
            <w:tcW w:w="3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23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r>
      <w:tr>
        <w:tblPrEx>
          <w:tblLayout w:type="fixed"/>
          <w:tblCellMar>
            <w:top w:w="0" w:type="dxa"/>
            <w:left w:w="0" w:type="dxa"/>
            <w:bottom w:w="0" w:type="dxa"/>
            <w:right w:w="0" w:type="dxa"/>
          </w:tblCellMar>
        </w:tblPrEx>
        <w:trPr>
          <w:trHeight w:val="975" w:hRule="atLeast"/>
          <w:jc w:val="center"/>
        </w:trPr>
        <w:tc>
          <w:tcPr>
            <w:tcW w:w="32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Style w:val="13"/>
                <w:rFonts w:eastAsia="宋体"/>
                <w:lang w:val="en-US" w:eastAsia="zh-CN" w:bidi="ar"/>
              </w:rPr>
              <w:t xml:space="preserve"> </w:t>
            </w:r>
            <w:r>
              <w:rPr>
                <w:rStyle w:val="14"/>
                <w:lang w:val="en-US" w:eastAsia="zh-CN" w:bidi="ar"/>
              </w:rPr>
              <w:t>存在问题、原因及下一步整改措施</w:t>
            </w:r>
          </w:p>
        </w:tc>
        <w:tc>
          <w:tcPr>
            <w:tcW w:w="73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单位开展党史宣传教育活动没有达到预期次数，下一步，我单位将制定党史宣传活动方案，并严格按照该方案执行，让党史宣传教育活动保质保量。</w:t>
            </w:r>
          </w:p>
        </w:tc>
      </w:tr>
    </w:tbl>
    <w:p>
      <w:pPr>
        <w:numPr>
          <w:ilvl w:val="0"/>
          <w:numId w:val="0"/>
        </w:numPr>
        <w:adjustRightInd w:val="0"/>
        <w:snapToGrid w:val="0"/>
        <w:spacing w:line="600" w:lineRule="exact"/>
        <w:rPr>
          <w:rFonts w:ascii="仿宋_GB2312" w:hAnsi="仿宋_GB2312" w:eastAsia="仿宋_GB2312" w:cs="仿宋_GB2312"/>
          <w:sz w:val="32"/>
          <w:szCs w:val="32"/>
        </w:rPr>
      </w:pP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7.69</w:t>
      </w:r>
      <w:r>
        <w:rPr>
          <w:rFonts w:hint="eastAsia" w:ascii="仿宋_GB2312" w:hAnsi="仿宋_GB2312" w:eastAsia="仿宋_GB2312" w:cs="仿宋_GB2312"/>
          <w:sz w:val="32"/>
          <w:szCs w:val="32"/>
        </w:rPr>
        <w:t>万元，比2019年度增加</w:t>
      </w:r>
      <w:r>
        <w:rPr>
          <w:rFonts w:hint="eastAsia" w:ascii="仿宋_GB2312" w:hAnsi="仿宋_GB2312" w:eastAsia="仿宋_GB2312" w:cs="仿宋_GB2312"/>
          <w:sz w:val="32"/>
          <w:szCs w:val="32"/>
          <w:lang w:val="en-US" w:eastAsia="zh-CN"/>
        </w:rPr>
        <w:t>5.54</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257.67</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单位办公费的增加</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辆，主要是</w:t>
      </w:r>
      <w:r>
        <w:rPr>
          <w:rFonts w:hint="eastAsia" w:ascii="仿宋_GB2312" w:hAnsi="仿宋_GB2312" w:eastAsia="仿宋_GB2312" w:cs="仿宋_GB2312"/>
          <w:sz w:val="32"/>
          <w:szCs w:val="32"/>
          <w:lang w:eastAsia="zh-CN"/>
        </w:rPr>
        <w:t>单位无公务用车</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hAnsi="仿宋_GB2312" w:eastAsia="仿宋_GB2312" w:cs="仿宋_GB2312"/>
          <w:sz w:val="32"/>
          <w:szCs w:val="32"/>
          <w:lang w:eastAsia="zh-CN"/>
        </w:rPr>
        <w:t>单位无价值</w:t>
      </w:r>
      <w:r>
        <w:rPr>
          <w:rFonts w:hint="eastAsia" w:ascii="仿宋_GB2312" w:hAnsi="仿宋_GB2312" w:eastAsia="仿宋_GB2312" w:cs="仿宋_GB2312"/>
          <w:sz w:val="32"/>
          <w:szCs w:val="32"/>
          <w:lang w:val="en-US" w:eastAsia="zh-CN"/>
        </w:rPr>
        <w:t>50万元以上的通用设备</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hAnsi="仿宋_GB2312" w:eastAsia="仿宋_GB2312" w:cs="仿宋_GB2312"/>
          <w:sz w:val="32"/>
          <w:szCs w:val="32"/>
          <w:lang w:eastAsia="zh-CN"/>
        </w:rPr>
        <w:t>单位无价值</w:t>
      </w:r>
      <w:r>
        <w:rPr>
          <w:rFonts w:hint="eastAsia" w:ascii="仿宋_GB2312" w:hAnsi="仿宋_GB2312" w:eastAsia="仿宋_GB2312" w:cs="仿宋_GB2312"/>
          <w:sz w:val="32"/>
          <w:szCs w:val="32"/>
          <w:lang w:val="en-US" w:eastAsia="zh-CN"/>
        </w:rPr>
        <w:t>100万元以上的专用设备</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w:t>
      </w:r>
      <w:r>
        <w:rPr>
          <w:rFonts w:hint="eastAsia" w:ascii="仿宋_GB2312" w:hAnsi="Times New Roman" w:eastAsia="仿宋_GB2312" w:cs="DengXian-Regular"/>
          <w:sz w:val="32"/>
          <w:szCs w:val="32"/>
        </w:rPr>
        <w:t>《政府性基金预算财政拨款收入支出决算表》、《国有资本经营预算财政拨款支出决算表》</w:t>
      </w:r>
      <w:r>
        <w:rPr>
          <w:rFonts w:hint="eastAsia" w:ascii="仿宋_GB2312" w:hAnsi="仿宋_GB2312" w:eastAsia="仿宋_GB2312" w:cs="仿宋_GB2312"/>
          <w:sz w:val="32"/>
          <w:szCs w:val="32"/>
        </w:rPr>
        <w:t>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5516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55168;v-text-anchor:middle;mso-width-relative:page;mso-height-relative:page;" fillcolor="#7F7F7F [1612]" filled="t" stroked="t" coordsize="21600,21600" o:gfxdata="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Gzv72AAAAAsBAAAPAAAAAAAAAAEAIAAAACIAAABkcnMvZG93bnJldi54&#10;bWxQSwECFAAUAAAACACHTuJA+DKZGGwCAAD+BAAADgAAAAAAAAABACAAAAAnAQAAZHJzL2Uyb0Rv&#10;Yy54bWxQSwUGAAAAAAYABgBZAQAABQYAAAAA&#10;">
                <v:fill type="pattern" on="t" color2="#FFFFFF [3212]" focussize="0,0" r:id="rId14"/>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hint="eastAsia" w:ascii="仿宋_GB2312" w:hAnsi="宋体" w:eastAsia="仿宋_GB2312" w:cs="Times New Roman"/>
          <w:b/>
          <w:bCs/>
          <w:color w:val="000000"/>
          <w:kern w:val="0"/>
          <w:sz w:val="32"/>
          <w:szCs w:val="32"/>
        </w:rPr>
      </w:pPr>
    </w:p>
    <w:p>
      <w:pPr>
        <w:widowControl/>
        <w:spacing w:line="600" w:lineRule="exact"/>
        <w:ind w:firstLine="643" w:firstLineChars="200"/>
        <w:rPr>
          <w:rFonts w:hint="eastAsia" w:ascii="仿宋_GB2312" w:hAnsi="宋体" w:eastAsia="仿宋_GB2312" w:cs="Times New Roman"/>
          <w:b/>
          <w:bCs/>
          <w:color w:val="000000"/>
          <w:kern w:val="0"/>
          <w:sz w:val="32"/>
          <w:szCs w:val="32"/>
        </w:rPr>
      </w:pPr>
    </w:p>
    <w:p>
      <w:pPr>
        <w:widowControl/>
        <w:spacing w:line="600" w:lineRule="exact"/>
        <w:ind w:firstLine="643" w:firstLineChars="200"/>
        <w:rPr>
          <w:rFonts w:hint="eastAsia" w:ascii="仿宋_GB2312" w:hAnsi="宋体" w:eastAsia="仿宋_GB2312" w:cs="Times New Roman"/>
          <w:b/>
          <w:bCs/>
          <w:color w:val="000000"/>
          <w:kern w:val="0"/>
          <w:sz w:val="32"/>
          <w:szCs w:val="32"/>
        </w:rPr>
      </w:pP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1312;v-text-anchor:middle;mso-width-relative:page;mso-height-relative:page;" fillcolor="#7F7F7F" filled="t" stroked="t" coordsize="21600,21600" o:gfxdata="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KcevmzcAAAA&#10;DQEAAA8AAAAAAAAAAQAgAAAAIgAAAGRycy9kb3ducmV2LnhtbFBLAQIUABQAAAAIAIdO4kDLXY5P&#10;iwIAAFsFAAAOAAAAAAAAAAEAIAAAACsBAABkcnMvZTJvRG9jLnhtbFBLBQYAAAAABgAGAFkBAAAo&#10;BgAAAAA=&#10;">
                <v:fill type="pattern" on="t" color2="#FFFFFF" focussize="0,0" r:id="rId14"/>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
      <w:pPr>
        <w:rPr>
          <w:b/>
          <w:sz w:val="20"/>
          <w:szCs w:val="22"/>
          <w:highlight w:val="yellow"/>
        </w:rPr>
      </w:pP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本部门应公开9张决算表格，即：</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一、收入支出决算</w:t>
      </w:r>
      <w:r>
        <w:rPr>
          <w:rFonts w:hint="eastAsia" w:ascii="仿宋_GB2312" w:hAnsi="宋体" w:eastAsia="仿宋_GB2312" w:cs="宋体"/>
          <w:b/>
          <w:bCs/>
          <w:sz w:val="28"/>
          <w:szCs w:val="28"/>
          <w:lang w:eastAsia="zh-CN"/>
        </w:rPr>
        <w:t>总</w:t>
      </w:r>
      <w:r>
        <w:rPr>
          <w:rFonts w:hint="eastAsia" w:ascii="仿宋_GB2312" w:hAnsi="宋体" w:eastAsia="仿宋_GB2312" w:cs="宋体"/>
          <w:b/>
          <w:bCs/>
          <w:sz w:val="28"/>
          <w:szCs w:val="28"/>
        </w:rPr>
        <w:t>表（公开01表）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二、收入决算表（公开02表）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三、支出决算表（公开03表）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四、财政拨款收入支出决算总表（公开04表）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五、一般公共预算财政拨款支出决算表（公开05表）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六、一般公共预算财政拨款基本支出决算表（公开06表）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七、一般公共预算财政拨款“三公”经费支出决算表（公开07表）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八、政府性基金预算财政拨款收入支出决算表（公开08表）</w:t>
      </w:r>
    </w:p>
    <w:p>
      <w:pPr>
        <w:widowControl/>
        <w:spacing w:line="360" w:lineRule="auto"/>
        <w:jc w:val="left"/>
        <w:rPr>
          <w:rFonts w:ascii="仿宋_GB2312" w:hAnsi="宋体" w:eastAsia="仿宋_GB2312" w:cs="宋体"/>
          <w:b/>
          <w:bCs/>
          <w:sz w:val="28"/>
          <w:szCs w:val="28"/>
        </w:rPr>
      </w:pPr>
      <w:r>
        <w:rPr>
          <w:rFonts w:hint="eastAsia" w:ascii="仿宋_GB2312" w:hAnsi="宋体" w:eastAsia="仿宋_GB2312" w:cs="宋体"/>
          <w:b/>
          <w:bCs/>
          <w:sz w:val="28"/>
          <w:szCs w:val="28"/>
        </w:rPr>
        <w:t>九、国有资本经营预算财政拨款收入支出决算表（公开09表）</w:t>
      </w:r>
    </w:p>
    <w:p>
      <w:pPr>
        <w:tabs>
          <w:tab w:val="left" w:pos="235"/>
        </w:tabs>
        <w:jc w:val="left"/>
      </w:pPr>
      <w:r>
        <w:rPr>
          <w:rFonts w:hint="eastAsia" w:ascii="仿宋_GB2312" w:hAnsi="宋体" w:eastAsia="仿宋_GB2312" w:cs="宋体"/>
          <w:b/>
          <w:bCs/>
          <w:sz w:val="28"/>
          <w:szCs w:val="28"/>
        </w:rPr>
        <w:t>详见附表：《中共高邑县委党史研究室20</w:t>
      </w:r>
      <w:r>
        <w:rPr>
          <w:rFonts w:hint="eastAsia" w:ascii="仿宋_GB2312" w:hAnsi="宋体" w:eastAsia="仿宋_GB2312" w:cs="宋体"/>
          <w:b/>
          <w:bCs/>
          <w:sz w:val="28"/>
          <w:szCs w:val="28"/>
          <w:lang w:val="en-US" w:eastAsia="zh-CN"/>
        </w:rPr>
        <w:t>20</w:t>
      </w:r>
      <w:r>
        <w:rPr>
          <w:rFonts w:hint="eastAsia" w:ascii="仿宋_GB2312" w:hAnsi="宋体" w:eastAsia="仿宋_GB2312" w:cs="宋体"/>
          <w:b/>
          <w:bCs/>
          <w:sz w:val="28"/>
          <w:szCs w:val="28"/>
        </w:rPr>
        <w:t>年度部门决算公开表》</w:t>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0288"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028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86"/>
    <w:family w:val="roman"/>
    <w:pitch w:val="default"/>
    <w:sig w:usb0="00000000" w:usb1="00000000" w:usb2="00000010" w:usb3="00000000" w:csb0="00040000" w:csb1="00000000"/>
  </w:font>
  <w:font w:name="ArialUnicodeMS">
    <w:altName w:val="宋体"/>
    <w:panose1 w:val="020B0604020202020204"/>
    <w:charset w:val="81"/>
    <w:family w:val="auto"/>
    <w:pitch w:val="default"/>
    <w:sig w:usb0="00000000" w:usb1="00000000" w:usb2="0000003F" w:usb3="00000000" w:csb0="603F01FF" w:csb1="FFFF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宋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22A04"/>
    <w:rsid w:val="00BA1219"/>
    <w:rsid w:val="00BB2584"/>
    <w:rsid w:val="00BE2400"/>
    <w:rsid w:val="00E54963"/>
    <w:rsid w:val="00EB3F98"/>
    <w:rsid w:val="00F217C2"/>
    <w:rsid w:val="00FD5E00"/>
    <w:rsid w:val="01B1104A"/>
    <w:rsid w:val="02B93A9E"/>
    <w:rsid w:val="02D763FA"/>
    <w:rsid w:val="03691D03"/>
    <w:rsid w:val="03957B62"/>
    <w:rsid w:val="04093783"/>
    <w:rsid w:val="040C42D7"/>
    <w:rsid w:val="04EE1AAA"/>
    <w:rsid w:val="057946D6"/>
    <w:rsid w:val="05D44EA3"/>
    <w:rsid w:val="0A320348"/>
    <w:rsid w:val="0A3C0143"/>
    <w:rsid w:val="0CAA14C3"/>
    <w:rsid w:val="0CB9014D"/>
    <w:rsid w:val="0EA325C9"/>
    <w:rsid w:val="0EE17C1A"/>
    <w:rsid w:val="100F53E2"/>
    <w:rsid w:val="146C15F0"/>
    <w:rsid w:val="181800A9"/>
    <w:rsid w:val="190F1819"/>
    <w:rsid w:val="1C3F2064"/>
    <w:rsid w:val="1CA45F57"/>
    <w:rsid w:val="1CF440F0"/>
    <w:rsid w:val="1EC02545"/>
    <w:rsid w:val="1ECC35E0"/>
    <w:rsid w:val="20984668"/>
    <w:rsid w:val="21696236"/>
    <w:rsid w:val="21E64F58"/>
    <w:rsid w:val="22E46C89"/>
    <w:rsid w:val="232D1F12"/>
    <w:rsid w:val="285B78C4"/>
    <w:rsid w:val="29DA4A78"/>
    <w:rsid w:val="29F62E8D"/>
    <w:rsid w:val="2A375C42"/>
    <w:rsid w:val="2A597304"/>
    <w:rsid w:val="30587360"/>
    <w:rsid w:val="34C45458"/>
    <w:rsid w:val="35690B0F"/>
    <w:rsid w:val="35C83C42"/>
    <w:rsid w:val="37445DC3"/>
    <w:rsid w:val="3FB077D6"/>
    <w:rsid w:val="40FB47EE"/>
    <w:rsid w:val="42833D4E"/>
    <w:rsid w:val="429E3C8F"/>
    <w:rsid w:val="42CC3D76"/>
    <w:rsid w:val="443A4D0C"/>
    <w:rsid w:val="474066A3"/>
    <w:rsid w:val="475D34F0"/>
    <w:rsid w:val="4BF67C87"/>
    <w:rsid w:val="4CFA3FE0"/>
    <w:rsid w:val="4E4A6984"/>
    <w:rsid w:val="4E8F5CF5"/>
    <w:rsid w:val="505811CD"/>
    <w:rsid w:val="50E42379"/>
    <w:rsid w:val="51900EE5"/>
    <w:rsid w:val="534D239F"/>
    <w:rsid w:val="54C55766"/>
    <w:rsid w:val="564152ED"/>
    <w:rsid w:val="581C1E41"/>
    <w:rsid w:val="5A9900F1"/>
    <w:rsid w:val="5B8430BF"/>
    <w:rsid w:val="5C3B205A"/>
    <w:rsid w:val="5C9C6BF5"/>
    <w:rsid w:val="5CF966D4"/>
    <w:rsid w:val="5D4F0E21"/>
    <w:rsid w:val="5E377B95"/>
    <w:rsid w:val="5E857237"/>
    <w:rsid w:val="60154311"/>
    <w:rsid w:val="61BE1759"/>
    <w:rsid w:val="61CA342A"/>
    <w:rsid w:val="62355247"/>
    <w:rsid w:val="636B42A8"/>
    <w:rsid w:val="63881EBD"/>
    <w:rsid w:val="65F55EDD"/>
    <w:rsid w:val="6828106B"/>
    <w:rsid w:val="683D6546"/>
    <w:rsid w:val="695B26FD"/>
    <w:rsid w:val="6A3A064F"/>
    <w:rsid w:val="6A5E6B4C"/>
    <w:rsid w:val="6A95511A"/>
    <w:rsid w:val="6AF77BA8"/>
    <w:rsid w:val="6BAE435C"/>
    <w:rsid w:val="6E403026"/>
    <w:rsid w:val="6EFE0212"/>
    <w:rsid w:val="6FB26632"/>
    <w:rsid w:val="6FDE5DA7"/>
    <w:rsid w:val="70065338"/>
    <w:rsid w:val="702B0707"/>
    <w:rsid w:val="71167889"/>
    <w:rsid w:val="720F47F1"/>
    <w:rsid w:val="73D824BD"/>
    <w:rsid w:val="74247B4D"/>
    <w:rsid w:val="750148F9"/>
    <w:rsid w:val="764B3663"/>
    <w:rsid w:val="76594038"/>
    <w:rsid w:val="767B17AA"/>
    <w:rsid w:val="77C61204"/>
    <w:rsid w:val="78541776"/>
    <w:rsid w:val="78DB30BE"/>
    <w:rsid w:val="79823529"/>
    <w:rsid w:val="7A2D016E"/>
    <w:rsid w:val="7B326DFB"/>
    <w:rsid w:val="7CD47D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99"/>
    <w:pPr>
      <w:spacing w:before="100" w:beforeAutospacing="1"/>
      <w:ind w:firstLine="420" w:firstLineChars="200"/>
    </w:pPr>
  </w:style>
  <w:style w:type="paragraph" w:styleId="3">
    <w:name w:val="Body Text Indent"/>
    <w:basedOn w:val="1"/>
    <w:qFormat/>
    <w:uiPriority w:val="99"/>
    <w:pPr>
      <w:spacing w:after="120"/>
      <w:ind w:left="420" w:leftChars="200"/>
    </w:pPr>
  </w:style>
  <w:style w:type="paragraph" w:styleId="5">
    <w:name w:val="Balloon Text"/>
    <w:basedOn w:val="1"/>
    <w:link w:val="12"/>
    <w:qFormat/>
    <w:uiPriority w:val="0"/>
    <w:rPr>
      <w:sz w:val="18"/>
      <w:szCs w:val="18"/>
    </w:r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10">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styleId="11">
    <w:name w:val="List Paragraph"/>
    <w:basedOn w:val="1"/>
    <w:unhideWhenUsed/>
    <w:qFormat/>
    <w:uiPriority w:val="99"/>
    <w:pPr>
      <w:ind w:firstLine="420" w:firstLineChars="200"/>
    </w:pPr>
  </w:style>
  <w:style w:type="character" w:customStyle="1" w:styleId="12">
    <w:name w:val="批注框文本 Char"/>
    <w:basedOn w:val="8"/>
    <w:link w:val="5"/>
    <w:qFormat/>
    <w:uiPriority w:val="0"/>
    <w:rPr>
      <w:rFonts w:asciiTheme="minorHAnsi" w:hAnsiTheme="minorHAnsi" w:eastAsiaTheme="minorEastAsia" w:cstheme="minorBidi"/>
      <w:kern w:val="2"/>
      <w:sz w:val="18"/>
      <w:szCs w:val="18"/>
    </w:rPr>
  </w:style>
  <w:style w:type="character" w:customStyle="1" w:styleId="13">
    <w:name w:val="font21"/>
    <w:basedOn w:val="8"/>
    <w:qFormat/>
    <w:uiPriority w:val="0"/>
    <w:rPr>
      <w:rFonts w:ascii="Calibri" w:hAnsi="Calibri" w:cs="Calibri"/>
      <w:color w:val="000000"/>
      <w:sz w:val="20"/>
      <w:szCs w:val="20"/>
      <w:u w:val="none"/>
    </w:rPr>
  </w:style>
  <w:style w:type="character" w:customStyle="1" w:styleId="14">
    <w:name w:val="font31"/>
    <w:basedOn w:val="8"/>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43.27</c:v>
                </c:pt>
                <c:pt idx="1">
                  <c:v>51.6</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占比</c:v>
                </c:pt>
              </c:strCache>
            </c:strRef>
          </c:tx>
          <c:spPr/>
          <c:explosion val="0"/>
          <c:dPt>
            <c:idx val="0"/>
            <c:bubble3D val="0"/>
            <c:explosion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165024969880815"/>
                  <c:y val="-0.04250927802305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基本支出92%</a:t>
                    </a:r>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152829245010263"/>
                  <c:y val="0.00016638604748274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a:t>
                    </a:r>
                  </a:p>
                  <a:p>
                    <a:pPr defTabSz="914400">
                      <a:defRPr lang="zh-CN" sz="900" b="0" i="0" u="none" strike="noStrike" kern="1200" baseline="0">
                        <a:solidFill>
                          <a:schemeClr val="tx1">
                            <a:lumMod val="75000"/>
                            <a:lumOff val="25000"/>
                          </a:schemeClr>
                        </a:solidFill>
                        <a:latin typeface="+mn-lt"/>
                        <a:ea typeface="+mn-ea"/>
                        <a:cs typeface="+mn-cs"/>
                      </a:defRPr>
                    </a:pPr>
                    <a:r>
                      <a:t>8%</a:t>
                    </a:r>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c:formatCode>
                <c:ptCount val="2"/>
                <c:pt idx="0">
                  <c:v>0.92</c:v>
                </c:pt>
                <c:pt idx="1">
                  <c:v>0.08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年收入、支出对比情况</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2019年收入</c:v>
                </c:pt>
                <c:pt idx="1">
                  <c:v>2020年收入</c:v>
                </c:pt>
                <c:pt idx="2">
                  <c:v>2019年支出</c:v>
                </c:pt>
                <c:pt idx="3">
                  <c:v>2020年支出</c:v>
                </c:pt>
              </c:strCache>
            </c:strRef>
          </c:cat>
          <c:val>
            <c:numRef>
              <c:f>Sheet1!$B$2:$B$5</c:f>
              <c:numCache>
                <c:formatCode>General</c:formatCode>
                <c:ptCount val="4"/>
                <c:pt idx="0">
                  <c:v>43.27</c:v>
                </c:pt>
                <c:pt idx="1">
                  <c:v>51.6</c:v>
                </c:pt>
                <c:pt idx="2">
                  <c:v>43.27</c:v>
                </c:pt>
                <c:pt idx="3">
                  <c:v>51.6</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年预决算收入支出对比情况</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55027932960894"/>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2020年决算收入</c:v>
                </c:pt>
                <c:pt idx="1">
                  <c:v>2020年预算收入</c:v>
                </c:pt>
                <c:pt idx="2">
                  <c:v>2020年决算支出</c:v>
                </c:pt>
                <c:pt idx="3">
                  <c:v>2020年预算支出</c:v>
                </c:pt>
              </c:strCache>
            </c:strRef>
          </c:cat>
          <c:val>
            <c:numRef>
              <c:f>Sheet1!$B$2:$B$5</c:f>
              <c:numCache>
                <c:formatCode>General</c:formatCode>
                <c:ptCount val="4"/>
                <c:pt idx="0">
                  <c:v>51.6</c:v>
                </c:pt>
                <c:pt idx="1">
                  <c:v>68.11</c:v>
                </c:pt>
                <c:pt idx="2">
                  <c:v>51.6</c:v>
                </c:pt>
                <c:pt idx="3">
                  <c:v>68.11</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占比</c:v>
                </c:pt>
              </c:strCache>
            </c:strRef>
          </c:tx>
          <c:spPr/>
          <c:explosion val="0"/>
          <c:dPt>
            <c:idx val="0"/>
            <c:bubble3D val="0"/>
            <c:explosion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0563017547663483"/>
                  <c:y val="0.037448503272163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一般公共服务支出, 7</a:t>
                    </a:r>
                    <a:r>
                      <a:rPr lang="en-US" altLang="zh-CN"/>
                      <a:t>0.5</a:t>
                    </a:r>
                    <a:r>
                      <a:t>%</a:t>
                    </a:r>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0266805801676679"/>
                  <c:y val="0.102383563565444"/>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社会保障和就业支出, 14</a:t>
                    </a:r>
                    <a:r>
                      <a:rPr lang="en-US" altLang="zh-CN"/>
                      <a:t>.2</a:t>
                    </a:r>
                    <a:r>
                      <a:t>%</a:t>
                    </a:r>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117135983054801"/>
                  <c:y val="0.103275000022775"/>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141316119975019"/>
                  <c:y val="0.0281569006740197"/>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一般公共服务支出</c:v>
                </c:pt>
                <c:pt idx="1">
                  <c:v>社会保障和就业支出</c:v>
                </c:pt>
                <c:pt idx="2">
                  <c:v>卫生健康支出</c:v>
                </c:pt>
                <c:pt idx="3">
                  <c:v>住房保障支出</c:v>
                </c:pt>
              </c:strCache>
            </c:strRef>
          </c:cat>
          <c:val>
            <c:numRef>
              <c:f>Sheet1!$B$2:$B$5</c:f>
              <c:numCache>
                <c:formatCode>0%</c:formatCode>
                <c:ptCount val="4"/>
                <c:pt idx="0">
                  <c:v>0.705</c:v>
                </c:pt>
                <c:pt idx="1">
                  <c:v>0.142</c:v>
                </c:pt>
                <c:pt idx="2" c:formatCode="0.00%">
                  <c:v>0.049</c:v>
                </c:pt>
                <c:pt idx="3" c:formatCode="0.00%">
                  <c:v>0.104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3</TotalTime>
  <ScaleCrop>false</ScaleCrop>
  <LinksUpToDate>false</LinksUpToDate>
  <CharactersWithSpaces>11806</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年年有余</cp:lastModifiedBy>
  <cp:lastPrinted>2021-08-26T06:52:00Z</cp:lastPrinted>
  <dcterms:modified xsi:type="dcterms:W3CDTF">2021-11-16T08:16:22Z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65FA352BAB5146309CB066C800874C19</vt:lpwstr>
  </property>
</Properties>
</file>