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6432;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7"/>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高邑县发展和改革局</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hint="eastAsia" w:ascii="黑体" w:hAnsi="黑体" w:eastAsia="黑体" w:cs="黑体"/>
          <w:sz w:val="72"/>
          <w:szCs w:val="96"/>
          <w:lang w:eastAsia="zh-CN"/>
        </w:rPr>
      </w:pPr>
      <w:r>
        <w:rPr>
          <w:rFonts w:hint="eastAsia" w:ascii="黑体" w:hAnsi="黑体" w:eastAsia="黑体" w:cs="黑体"/>
          <w:sz w:val="72"/>
          <w:szCs w:val="96"/>
          <w:lang w:eastAsia="zh-CN"/>
        </w:rPr>
        <w:t>高邑县发展和改革局</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widowControl/>
        <w:spacing w:line="600" w:lineRule="exact"/>
        <w:jc w:val="left"/>
        <w:rPr>
          <w:rFonts w:ascii="黑体" w:hAnsi="黑体" w:eastAsia="黑体" w:cs="黑体"/>
          <w:sz w:val="56"/>
          <w:szCs w:val="72"/>
          <w:highlight w:val="yellow"/>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8"/>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40" w:lineRule="exact"/>
        <w:ind w:firstLine="688" w:firstLineChars="200"/>
        <w:rPr>
          <w:rFonts w:ascii="仿宋_GB2312" w:hAnsi="宋体" w:eastAsia="仿宋_GB2312" w:cs="Times New Roman"/>
          <w:spacing w:val="12"/>
          <w:kern w:val="0"/>
          <w:sz w:val="32"/>
          <w:szCs w:val="32"/>
        </w:rPr>
      </w:pPr>
      <w:r>
        <w:rPr>
          <w:rFonts w:ascii="仿宋_GB2312" w:hAnsi="宋体" w:eastAsia="仿宋_GB2312" w:cs="仿宋_GB2312"/>
          <w:spacing w:val="12"/>
          <w:kern w:val="0"/>
          <w:sz w:val="32"/>
          <w:szCs w:val="32"/>
        </w:rPr>
        <w:t>1</w:t>
      </w:r>
      <w:r>
        <w:rPr>
          <w:rFonts w:hint="eastAsia" w:ascii="仿宋_GB2312" w:hAnsi="宋体" w:eastAsia="仿宋_GB2312" w:cs="仿宋_GB2312"/>
          <w:spacing w:val="12"/>
          <w:kern w:val="0"/>
          <w:sz w:val="32"/>
          <w:szCs w:val="32"/>
        </w:rPr>
        <w:t>、研究拟订全县国民经济和社会发展中长期规划和年度计划，受县政府委托向县人大作国民经济和社会发展计划的报告。</w:t>
      </w:r>
    </w:p>
    <w:p>
      <w:pPr>
        <w:widowControl/>
        <w:shd w:val="clear" w:color="auto" w:fill="FFFFFF"/>
        <w:spacing w:line="540" w:lineRule="exact"/>
        <w:ind w:firstLine="688" w:firstLineChars="200"/>
        <w:jc w:val="left"/>
        <w:rPr>
          <w:rFonts w:ascii="仿宋_GB2312" w:hAnsi="宋体" w:eastAsia="仿宋_GB2312" w:cs="Times New Roman"/>
          <w:color w:val="000000"/>
          <w:kern w:val="0"/>
          <w:sz w:val="32"/>
          <w:szCs w:val="32"/>
        </w:rPr>
      </w:pPr>
      <w:r>
        <w:rPr>
          <w:rFonts w:ascii="仿宋_GB2312" w:hAnsi="宋体" w:eastAsia="仿宋_GB2312" w:cs="仿宋_GB2312"/>
          <w:spacing w:val="12"/>
          <w:kern w:val="0"/>
          <w:sz w:val="32"/>
          <w:szCs w:val="32"/>
        </w:rPr>
        <w:t>2</w:t>
      </w:r>
      <w:r>
        <w:rPr>
          <w:rFonts w:hint="eastAsia" w:ascii="仿宋_GB2312" w:hAnsi="宋体" w:eastAsia="仿宋_GB2312" w:cs="仿宋_GB2312"/>
          <w:spacing w:val="12"/>
          <w:kern w:val="0"/>
          <w:sz w:val="32"/>
          <w:szCs w:val="32"/>
        </w:rPr>
        <w:t>、</w:t>
      </w:r>
      <w:r>
        <w:rPr>
          <w:rFonts w:hint="eastAsia" w:ascii="仿宋_GB2312" w:hAnsi="宋体" w:eastAsia="仿宋_GB2312" w:cs="仿宋_GB2312"/>
          <w:color w:val="000000"/>
          <w:kern w:val="0"/>
          <w:sz w:val="32"/>
          <w:szCs w:val="32"/>
        </w:rPr>
        <w:t>研究分析全县经济形势和发展态势，对区域经济走势进行预测；负责提出协调经济、社会发展的建议，对全县经济运行进行综合、协调、调度。</w:t>
      </w:r>
    </w:p>
    <w:p>
      <w:pPr>
        <w:widowControl/>
        <w:spacing w:line="540" w:lineRule="exact"/>
        <w:ind w:firstLine="640" w:firstLineChars="200"/>
        <w:rPr>
          <w:rFonts w:ascii="仿宋_GB2312" w:hAnsi="宋体" w:eastAsia="仿宋_GB2312" w:cs="Times New Roman"/>
          <w:spacing w:val="12"/>
          <w:kern w:val="0"/>
          <w:sz w:val="32"/>
          <w:szCs w:val="32"/>
        </w:rPr>
      </w:pPr>
      <w:r>
        <w:rPr>
          <w:rFonts w:ascii="仿宋_GB2312" w:eastAsia="仿宋_GB2312" w:cs="仿宋_GB2312"/>
          <w:sz w:val="32"/>
          <w:szCs w:val="32"/>
        </w:rPr>
        <w:t>3</w:t>
      </w:r>
      <w:r>
        <w:rPr>
          <w:rFonts w:hint="eastAsia" w:ascii="仿宋_GB2312" w:eastAsia="仿宋_GB2312" w:cs="仿宋_GB2312"/>
          <w:sz w:val="32"/>
          <w:szCs w:val="32"/>
        </w:rPr>
        <w:t>、研究提出全社会固定资产投资总规模，规划产业布局；安排引导民间资金用于固定资产投资的方向，负责固定资产投资项目的备案、核准和审批工作。</w:t>
      </w:r>
      <w:r>
        <w:rPr>
          <w:rFonts w:hint="eastAsia" w:ascii="仿宋_GB2312" w:hAnsi="宋体" w:eastAsia="仿宋_GB2312" w:cs="仿宋_GB2312"/>
          <w:spacing w:val="12"/>
          <w:kern w:val="0"/>
          <w:sz w:val="32"/>
          <w:szCs w:val="32"/>
        </w:rPr>
        <w:t>安排国家、省、市拨款的建设项目和县重点建设项目，指导协调全县招标投标工作。</w:t>
      </w:r>
    </w:p>
    <w:p>
      <w:pPr>
        <w:widowControl/>
        <w:spacing w:line="540" w:lineRule="exact"/>
        <w:ind w:firstLine="688" w:firstLineChars="200"/>
        <w:rPr>
          <w:rFonts w:ascii="仿宋_GB2312" w:hAnsi="宋体" w:eastAsia="仿宋_GB2312" w:cs="Times New Roman"/>
          <w:spacing w:val="12"/>
          <w:kern w:val="0"/>
          <w:sz w:val="32"/>
          <w:szCs w:val="32"/>
        </w:rPr>
      </w:pPr>
      <w:r>
        <w:rPr>
          <w:rFonts w:ascii="仿宋_GB2312" w:hAnsi="宋体" w:eastAsia="仿宋_GB2312" w:cs="仿宋_GB2312"/>
          <w:spacing w:val="12"/>
          <w:kern w:val="0"/>
          <w:sz w:val="32"/>
          <w:szCs w:val="32"/>
        </w:rPr>
        <w:t>4</w:t>
      </w:r>
      <w:r>
        <w:rPr>
          <w:rFonts w:hint="eastAsia" w:ascii="仿宋_GB2312" w:hAnsi="宋体" w:eastAsia="仿宋_GB2312" w:cs="仿宋_GB2312"/>
          <w:spacing w:val="12"/>
          <w:kern w:val="0"/>
          <w:sz w:val="32"/>
          <w:szCs w:val="32"/>
        </w:rPr>
        <w:t>、组织实施产业政策，监督检查产业政策的执行；拟订社会事业单位的发展计划；组织制订全县基础设施建设项目规划，谋划筛选管理社会事业项目，申请和安排上级财政性建设补助资金。</w:t>
      </w:r>
    </w:p>
    <w:p>
      <w:pPr>
        <w:widowControl/>
        <w:shd w:val="clear" w:color="auto" w:fill="FFFFFF"/>
        <w:spacing w:line="540" w:lineRule="exact"/>
        <w:ind w:firstLine="688" w:firstLineChars="200"/>
        <w:jc w:val="left"/>
        <w:rPr>
          <w:rFonts w:ascii="仿宋_GB2312" w:hAnsi="宋体" w:eastAsia="仿宋_GB2312" w:cs="Times New Roman"/>
          <w:color w:val="000000"/>
          <w:kern w:val="0"/>
          <w:sz w:val="32"/>
          <w:szCs w:val="32"/>
        </w:rPr>
      </w:pPr>
      <w:r>
        <w:rPr>
          <w:rFonts w:ascii="仿宋_GB2312" w:hAnsi="宋体" w:eastAsia="仿宋_GB2312" w:cs="仿宋_GB2312"/>
          <w:spacing w:val="12"/>
          <w:kern w:val="0"/>
          <w:sz w:val="32"/>
          <w:szCs w:val="32"/>
        </w:rPr>
        <w:t>5</w:t>
      </w:r>
      <w:r>
        <w:rPr>
          <w:rFonts w:hint="eastAsia" w:ascii="仿宋_GB2312" w:hAnsi="宋体" w:eastAsia="仿宋_GB2312" w:cs="仿宋_GB2312"/>
          <w:spacing w:val="12"/>
          <w:kern w:val="0"/>
          <w:sz w:val="32"/>
          <w:szCs w:val="32"/>
        </w:rPr>
        <w:t>、研究全县经济体制改革和对外开放的重大问题，组织拟定综合性经济体制改革方案，协调有关专项经济体制改革方案；指导和推进总体经济体制改革，负责企业股份制改革管理和上市公司的呈报、推荐。</w:t>
      </w:r>
    </w:p>
    <w:p>
      <w:pPr>
        <w:widowControl/>
        <w:spacing w:line="540" w:lineRule="exact"/>
        <w:ind w:firstLine="640" w:firstLineChars="200"/>
        <w:rPr>
          <w:rFonts w:ascii="仿宋_GB2312" w:hAnsi="宋体" w:eastAsia="仿宋_GB2312" w:cs="Times New Roman"/>
          <w:spacing w:val="12"/>
          <w:kern w:val="0"/>
          <w:sz w:val="32"/>
          <w:szCs w:val="32"/>
        </w:rPr>
      </w:pPr>
      <w:r>
        <w:rPr>
          <w:rFonts w:ascii="仿宋_GB2312" w:eastAsia="仿宋_GB2312" w:cs="仿宋_GB2312"/>
          <w:sz w:val="32"/>
          <w:szCs w:val="32"/>
        </w:rPr>
        <w:t>6</w:t>
      </w:r>
      <w:r>
        <w:rPr>
          <w:rFonts w:hint="eastAsia" w:ascii="仿宋_GB2312" w:eastAsia="仿宋_GB2312" w:cs="仿宋_GB2312"/>
          <w:sz w:val="32"/>
          <w:szCs w:val="32"/>
        </w:rPr>
        <w:t>、推进可持续发展战略，研究拟订资源节约综合利用规划，编制生态建设规划，提出资源节约综合利用的政策建议；组织协调环保产业工作，指导协调和考核全县节能工作，在县域内实施节能监督检查。</w:t>
      </w:r>
    </w:p>
    <w:p>
      <w:pPr>
        <w:widowControl/>
        <w:spacing w:line="540" w:lineRule="exact"/>
        <w:ind w:firstLine="640" w:firstLineChars="200"/>
        <w:rPr>
          <w:rFonts w:ascii="仿宋_GB2312" w:eastAsia="仿宋_GB2312" w:cs="Times New Roman"/>
          <w:color w:val="000000"/>
          <w:sz w:val="32"/>
          <w:szCs w:val="32"/>
          <w:shd w:val="clear" w:color="auto" w:fill="FFFFFF"/>
        </w:rPr>
      </w:pPr>
      <w:r>
        <w:rPr>
          <w:rFonts w:ascii="仿宋_GB2312" w:eastAsia="仿宋_GB2312" w:cs="仿宋_GB2312"/>
          <w:sz w:val="32"/>
          <w:szCs w:val="32"/>
        </w:rPr>
        <w:t>7</w:t>
      </w:r>
      <w:r>
        <w:rPr>
          <w:rFonts w:hint="eastAsia" w:ascii="仿宋_GB2312" w:eastAsia="仿宋_GB2312" w:cs="仿宋_GB2312"/>
          <w:sz w:val="32"/>
          <w:szCs w:val="32"/>
        </w:rPr>
        <w:t>、</w:t>
      </w:r>
      <w:r>
        <w:rPr>
          <w:rFonts w:hint="eastAsia" w:ascii="仿宋_GB2312" w:eastAsia="仿宋_GB2312" w:cs="仿宋_GB2312"/>
          <w:color w:val="000000"/>
          <w:sz w:val="32"/>
          <w:szCs w:val="32"/>
          <w:shd w:val="clear" w:color="auto" w:fill="FFFFFF"/>
        </w:rPr>
        <w:t>推进经济结构战略性调整。负责协调全县第一、二、三产业发展的重大问题并衔接平衡相关发展规划和政策；规划、指导全县服务业的建设和发展，编制服务业发展总体规划和年度计划，研究提出现代物流业发展的规划和措施；组织拟订高技术产业发展、产业技术进步和创新能力升级的战略、规模和政策。</w:t>
      </w:r>
    </w:p>
    <w:p>
      <w:pPr>
        <w:widowControl/>
        <w:spacing w:line="540" w:lineRule="exact"/>
        <w:ind w:firstLine="640" w:firstLineChars="200"/>
        <w:rPr>
          <w:rFonts w:ascii="仿宋_GB2312" w:eastAsia="仿宋_GB2312" w:cs="Times New Roman"/>
          <w:sz w:val="32"/>
          <w:szCs w:val="32"/>
        </w:rPr>
      </w:pPr>
      <w:r>
        <w:rPr>
          <w:rFonts w:ascii="仿宋_GB2312" w:eastAsia="仿宋_GB2312" w:cs="仿宋_GB2312"/>
          <w:sz w:val="32"/>
          <w:szCs w:val="32"/>
        </w:rPr>
        <w:t>8</w:t>
      </w:r>
      <w:r>
        <w:rPr>
          <w:rFonts w:hint="eastAsia" w:ascii="仿宋_GB2312" w:eastAsia="仿宋_GB2312" w:cs="仿宋_GB2312"/>
          <w:sz w:val="32"/>
          <w:szCs w:val="32"/>
        </w:rPr>
        <w:t>、</w:t>
      </w:r>
      <w:r>
        <w:rPr>
          <w:rFonts w:hint="eastAsia" w:ascii="仿宋_GB2312" w:hAnsi="宋体" w:eastAsia="仿宋_GB2312" w:cs="仿宋_GB2312"/>
          <w:color w:val="000000"/>
          <w:kern w:val="0"/>
          <w:sz w:val="32"/>
          <w:szCs w:val="32"/>
        </w:rPr>
        <w:t>负责经济技术合作工作，统计、分析全县经济技术合作情况，落实引进国内资金计划，指导、协调县经济、技术交流以及与省外重点大专院校科研院所的合作工作；办理外资企业免税审批手续。</w:t>
      </w:r>
    </w:p>
    <w:p>
      <w:pPr>
        <w:widowControl/>
        <w:spacing w:line="540" w:lineRule="exact"/>
        <w:ind w:firstLine="640" w:firstLineChars="200"/>
        <w:rPr>
          <w:rFonts w:ascii="仿宋_GB2312" w:hAnsi="宋体" w:eastAsia="仿宋_GB2312" w:cs="Times New Roman"/>
          <w:color w:val="000000"/>
          <w:kern w:val="0"/>
          <w:sz w:val="32"/>
          <w:szCs w:val="32"/>
        </w:rPr>
      </w:pPr>
      <w:r>
        <w:rPr>
          <w:rFonts w:ascii="仿宋_GB2312" w:hAnsi="宋体" w:eastAsia="仿宋_GB2312" w:cs="仿宋_GB2312"/>
          <w:color w:val="000000"/>
          <w:kern w:val="0"/>
          <w:sz w:val="32"/>
          <w:szCs w:val="32"/>
        </w:rPr>
        <w:t>9</w:t>
      </w:r>
      <w:r>
        <w:rPr>
          <w:rFonts w:hint="eastAsia" w:ascii="仿宋_GB2312" w:hAnsi="宋体" w:eastAsia="仿宋_GB2312" w:cs="仿宋_GB2312"/>
          <w:color w:val="000000"/>
          <w:kern w:val="0"/>
          <w:sz w:val="32"/>
          <w:szCs w:val="32"/>
        </w:rPr>
        <w:t>、组织落实全县国民经济动员计划，承担县国防动员委员会交办的有关工作</w:t>
      </w:r>
    </w:p>
    <w:p>
      <w:pPr>
        <w:widowControl/>
        <w:spacing w:line="540" w:lineRule="exact"/>
        <w:ind w:firstLine="640" w:firstLineChars="200"/>
        <w:rPr>
          <w:rFonts w:ascii="仿宋_GB2312" w:eastAsia="仿宋_GB2312" w:cs="Times New Roman"/>
          <w:color w:val="000000"/>
          <w:sz w:val="32"/>
          <w:szCs w:val="32"/>
          <w:shd w:val="clear" w:color="auto" w:fill="FFFFFF"/>
        </w:rPr>
      </w:pPr>
      <w:r>
        <w:rPr>
          <w:rFonts w:ascii="仿宋_GB2312" w:eastAsia="仿宋_GB2312" w:cs="仿宋_GB2312"/>
          <w:color w:val="000000"/>
          <w:sz w:val="32"/>
          <w:szCs w:val="32"/>
          <w:shd w:val="clear" w:color="auto" w:fill="FFFFFF"/>
        </w:rPr>
        <w:t>10</w:t>
      </w:r>
      <w:r>
        <w:rPr>
          <w:rFonts w:hint="eastAsia" w:ascii="仿宋_GB2312" w:eastAsia="仿宋_GB2312" w:cs="仿宋_GB2312"/>
          <w:sz w:val="32"/>
          <w:szCs w:val="32"/>
        </w:rPr>
        <w:t>、受市散装办委托，负责县域内散装水泥的推广、使用工作，依据有关条例做好散装水泥专项基金的征收、使用和管理。</w:t>
      </w:r>
    </w:p>
    <w:p>
      <w:pPr>
        <w:widowControl/>
        <w:spacing w:line="540" w:lineRule="exact"/>
        <w:ind w:firstLine="726" w:firstLineChars="227"/>
        <w:rPr>
          <w:rFonts w:ascii="仿宋_GB2312" w:eastAsia="仿宋_GB2312" w:cs="Times New Roman"/>
          <w:color w:val="000000"/>
          <w:sz w:val="32"/>
          <w:szCs w:val="32"/>
          <w:shd w:val="clear" w:color="auto" w:fill="FFFFFF"/>
        </w:rPr>
      </w:pPr>
      <w:r>
        <w:rPr>
          <w:rFonts w:ascii="仿宋_GB2312" w:eastAsia="仿宋_GB2312" w:cs="仿宋_GB2312"/>
          <w:color w:val="000000"/>
          <w:sz w:val="32"/>
          <w:szCs w:val="32"/>
          <w:shd w:val="clear" w:color="auto" w:fill="FFFFFF"/>
        </w:rPr>
        <w:t>11</w:t>
      </w:r>
      <w:r>
        <w:rPr>
          <w:rFonts w:hint="eastAsia" w:ascii="仿宋_GB2312" w:eastAsia="仿宋_GB2312" w:cs="仿宋_GB2312"/>
          <w:color w:val="000000"/>
          <w:sz w:val="32"/>
          <w:szCs w:val="32"/>
          <w:shd w:val="clear" w:color="auto" w:fill="FFFFFF"/>
        </w:rPr>
        <w:t>、负责系统党建和精神文明工作，负责系统工、青、妇群团工作，以及普法、计划生育和职工培训工作。</w:t>
      </w:r>
    </w:p>
    <w:p>
      <w:pPr>
        <w:widowControl/>
        <w:spacing w:line="540" w:lineRule="exact"/>
        <w:ind w:firstLine="640" w:firstLineChars="200"/>
        <w:rPr>
          <w:rFonts w:ascii="??" w:hAnsi="??" w:eastAsia="宋体" w:cs="Times New Roman"/>
        </w:rPr>
      </w:pPr>
      <w:r>
        <w:rPr>
          <w:rFonts w:ascii="仿宋_GB2312" w:eastAsia="仿宋_GB2312" w:cs="仿宋_GB2312"/>
          <w:sz w:val="32"/>
          <w:szCs w:val="32"/>
        </w:rPr>
        <w:t>12</w:t>
      </w:r>
      <w:r>
        <w:rPr>
          <w:rFonts w:hint="eastAsia" w:ascii="仿宋_GB2312" w:eastAsia="仿宋_GB2312" w:cs="仿宋_GB2312"/>
          <w:sz w:val="32"/>
          <w:szCs w:val="32"/>
        </w:rPr>
        <w:t>、承办县政府交办的其他事项。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tcBorders>
              <w:top w:val="single" w:color="auto" w:sz="4" w:space="0"/>
              <w:left w:val="nil"/>
              <w:bottom w:val="nil"/>
              <w:right w:val="nil"/>
            </w:tcBorders>
          </w:tcPr>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w:t>
            </w:r>
            <w:r>
              <w:rPr>
                <w:rFonts w:hint="eastAsia" w:ascii="仿宋_GB2312" w:hAnsi="Calibri" w:eastAsia="仿宋_GB2312" w:cs="ArialUnicodeMS"/>
                <w:kern w:val="0"/>
                <w:sz w:val="32"/>
                <w:szCs w:val="32"/>
                <w:lang w:val="en-US" w:eastAsia="zh-CN"/>
              </w:rPr>
              <w:t>20</w:t>
            </w:r>
            <w:r>
              <w:rPr>
                <w:rFonts w:hint="eastAsia" w:ascii="仿宋_GB2312" w:hAnsi="Calibri" w:eastAsia="仿宋_GB2312" w:cs="ArialUnicodeMS"/>
                <w:kern w:val="0"/>
                <w:sz w:val="32"/>
                <w:szCs w:val="32"/>
              </w:rPr>
              <w:t xml:space="preserve">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W w:w="9135" w:type="dxa"/>
              <w:tblInd w:w="-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15"/>
              <w:gridCol w:w="1665"/>
              <w:gridCol w:w="1605"/>
              <w:gridCol w:w="2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 xml:space="preserve">单位名称 </w:t>
                  </w:r>
                </w:p>
              </w:tc>
              <w:tc>
                <w:tcPr>
                  <w:tcW w:w="166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 xml:space="preserve"> 单位性质 </w:t>
                  </w:r>
                </w:p>
              </w:tc>
              <w:tc>
                <w:tcPr>
                  <w:tcW w:w="1605"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单位规格</w:t>
                  </w:r>
                </w:p>
              </w:tc>
              <w:tc>
                <w:tcPr>
                  <w:tcW w:w="2250" w:type="dxa"/>
                </w:tcPr>
                <w:p>
                  <w:pPr>
                    <w:spacing w:after="0" w:line="560" w:lineRule="exact"/>
                    <w:rPr>
                      <w:rFonts w:hint="eastAsia" w:ascii="仿宋_GB2312" w:hAnsi="Cambria" w:eastAsia="仿宋_GB2312" w:cs="ArialUnicodeMS"/>
                      <w:kern w:val="0"/>
                      <w:sz w:val="32"/>
                      <w:szCs w:val="32"/>
                      <w:vertAlign w:val="baseline"/>
                    </w:rPr>
                  </w:pPr>
                  <w:r>
                    <w:rPr>
                      <w:rFonts w:hint="eastAsia" w:ascii="仿宋_GB2312" w:hAnsi="Cambria" w:eastAsia="仿宋_GB2312" w:cs="ArialUnicodeMS"/>
                      <w:kern w:val="0"/>
                      <w:sz w:val="32"/>
                      <w:szCs w:val="32"/>
                      <w:vertAlign w:val="baseline"/>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5" w:type="dxa"/>
                  <w:vAlign w:val="top"/>
                </w:tcPr>
                <w:p>
                  <w:pPr>
                    <w:spacing w:line="560" w:lineRule="exact"/>
                    <w:rPr>
                      <w:rFonts w:hint="eastAsia" w:ascii="仿宋_GB2312" w:hAnsi="Cambria" w:eastAsia="仿宋_GB2312" w:cs="ArialUnicodeMS"/>
                      <w:kern w:val="0"/>
                      <w:sz w:val="32"/>
                      <w:szCs w:val="32"/>
                      <w:vertAlign w:val="baseline"/>
                      <w:lang w:eastAsia="zh-CN"/>
                    </w:rPr>
                  </w:pPr>
                  <w:r>
                    <w:rPr>
                      <w:rFonts w:hint="eastAsia" w:ascii="仿宋_GB2312" w:eastAsia="仿宋_GB2312" w:cs="仿宋_GB2312"/>
                      <w:kern w:val="0"/>
                      <w:sz w:val="28"/>
                      <w:szCs w:val="28"/>
                    </w:rPr>
                    <w:t>高邑县发展和改革局</w:t>
                  </w:r>
                </w:p>
              </w:tc>
              <w:tc>
                <w:tcPr>
                  <w:tcW w:w="1665" w:type="dxa"/>
                  <w:vAlign w:val="top"/>
                </w:tcPr>
                <w:p>
                  <w:pPr>
                    <w:spacing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仿宋_GB2312"/>
                      <w:kern w:val="0"/>
                      <w:sz w:val="32"/>
                      <w:szCs w:val="32"/>
                    </w:rPr>
                    <w:t>行政</w:t>
                  </w:r>
                </w:p>
              </w:tc>
              <w:tc>
                <w:tcPr>
                  <w:tcW w:w="1605" w:type="dxa"/>
                  <w:vAlign w:val="top"/>
                </w:tcPr>
                <w:p>
                  <w:pPr>
                    <w:spacing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仿宋_GB2312"/>
                      <w:kern w:val="0"/>
                      <w:sz w:val="32"/>
                      <w:szCs w:val="32"/>
                    </w:rPr>
                    <w:t>正科级</w:t>
                  </w:r>
                </w:p>
              </w:tc>
              <w:tc>
                <w:tcPr>
                  <w:tcW w:w="2250" w:type="dxa"/>
                  <w:vAlign w:val="top"/>
                </w:tcPr>
                <w:p>
                  <w:pPr>
                    <w:spacing w:line="560" w:lineRule="exact"/>
                    <w:rPr>
                      <w:rFonts w:hint="eastAsia" w:ascii="仿宋_GB2312" w:hAnsi="Cambria" w:eastAsia="仿宋_GB2312" w:cs="ArialUnicodeMS"/>
                      <w:kern w:val="0"/>
                      <w:sz w:val="32"/>
                      <w:szCs w:val="32"/>
                      <w:vertAlign w:val="baseline"/>
                      <w:lang w:eastAsia="zh-CN"/>
                    </w:rPr>
                  </w:pPr>
                  <w:r>
                    <w:rPr>
                      <w:rFonts w:hint="eastAsia" w:ascii="仿宋_GB2312" w:hAnsi="Cambria" w:eastAsia="仿宋_GB2312" w:cs="仿宋_GB2312"/>
                      <w:kern w:val="0"/>
                      <w:sz w:val="32"/>
                      <w:szCs w:val="32"/>
                    </w:rPr>
                    <w:t>财政拨款</w:t>
                  </w:r>
                </w:p>
              </w:tc>
            </w:tr>
          </w:tbl>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4"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8"/>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w:t>
      </w:r>
      <w:r>
        <w:rPr>
          <w:rFonts w:hint="eastAsia" w:ascii="仿宋_GB2312" w:hAnsi="Times New Roman" w:eastAsia="仿宋_GB2312" w:cs="Wingdings"/>
          <w:sz w:val="32"/>
          <w:szCs w:val="32"/>
          <w:lang w:eastAsia="zh-CN"/>
        </w:rPr>
        <w:t>入</w:t>
      </w:r>
      <w:r>
        <w:rPr>
          <w:rFonts w:hint="eastAsia" w:ascii="仿宋_GB2312" w:hAnsi="Times New Roman" w:eastAsia="仿宋_GB2312" w:cs="Wingdings"/>
          <w:sz w:val="32"/>
          <w:szCs w:val="32"/>
        </w:rPr>
        <w:t>总计（含结转和结余）</w:t>
      </w:r>
      <w:r>
        <w:rPr>
          <w:rFonts w:hint="eastAsia" w:ascii="仿宋_GB2312" w:hAnsi="Times New Roman" w:eastAsia="仿宋_GB2312" w:cs="Wingdings"/>
          <w:sz w:val="32"/>
          <w:szCs w:val="32"/>
          <w:lang w:val="en-US" w:eastAsia="zh-CN"/>
        </w:rPr>
        <w:t>5554.45</w:t>
      </w:r>
      <w:r>
        <w:rPr>
          <w:rFonts w:hint="eastAsia" w:ascii="仿宋_GB2312" w:hAnsi="Times New Roman" w:eastAsia="仿宋_GB2312" w:cs="Wingdings"/>
          <w:sz w:val="32"/>
          <w:szCs w:val="32"/>
        </w:rPr>
        <w:t>万元。与2019年度决算相比，收</w:t>
      </w:r>
      <w:r>
        <w:rPr>
          <w:rFonts w:hint="eastAsia" w:ascii="仿宋_GB2312" w:hAnsi="Times New Roman" w:eastAsia="仿宋_GB2312" w:cs="Wingdings"/>
          <w:sz w:val="32"/>
          <w:szCs w:val="32"/>
          <w:lang w:eastAsia="zh-CN"/>
        </w:rPr>
        <w:t>入</w:t>
      </w:r>
      <w:r>
        <w:rPr>
          <w:rFonts w:hint="eastAsia" w:ascii="仿宋_GB2312" w:hAnsi="Times New Roman" w:eastAsia="仿宋_GB2312" w:cs="Wingdings"/>
          <w:sz w:val="32"/>
          <w:szCs w:val="32"/>
        </w:rPr>
        <w:t>减少</w:t>
      </w:r>
      <w:r>
        <w:rPr>
          <w:rFonts w:hint="eastAsia" w:ascii="仿宋_GB2312" w:hAnsi="Times New Roman" w:eastAsia="仿宋_GB2312" w:cs="Wingdings"/>
          <w:sz w:val="32"/>
          <w:szCs w:val="32"/>
          <w:lang w:val="en-US" w:eastAsia="zh-CN"/>
        </w:rPr>
        <w:t>1534.28</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21.64</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项目资金减少</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2020年度支出总计3949.91万元，</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2019年度决算相比，支出减少2503.96万元，下降38.80%，主要原因是项目资金减少。</w:t>
      </w:r>
    </w:p>
    <w:p>
      <w:pPr>
        <w:adjustRightInd w:val="0"/>
        <w:snapToGrid w:val="0"/>
        <w:spacing w:line="600" w:lineRule="exact"/>
        <w:rPr>
          <w:rFonts w:ascii="仿宋_GB2312" w:hAnsi="Times New Roman" w:eastAsia="仿宋_GB2312" w:cs="Wingdings"/>
          <w:sz w:val="32"/>
          <w:szCs w:val="32"/>
        </w:rPr>
      </w:pPr>
      <w:r>
        <w:rPr>
          <w:rFonts w:hint="eastAsia" w:eastAsiaTheme="minorEastAsia"/>
          <w:lang w:eastAsia="zh-CN"/>
        </w:rPr>
        <w:drawing>
          <wp:anchor distT="0" distB="0" distL="114300" distR="114300" simplePos="0" relativeHeight="251668480" behindDoc="0" locked="0" layoutInCell="1" allowOverlap="1">
            <wp:simplePos x="0" y="0"/>
            <wp:positionH relativeFrom="column">
              <wp:posOffset>441960</wp:posOffset>
            </wp:positionH>
            <wp:positionV relativeFrom="paragraph">
              <wp:posOffset>77470</wp:posOffset>
            </wp:positionV>
            <wp:extent cx="4832350" cy="2105025"/>
            <wp:effectExtent l="5080" t="4445" r="20320" b="508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1680" w:firstLineChars="600"/>
        <w:outlineLvl w:val="1"/>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2019-2020年收支总计对比情况（图1）</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黑体" w:hAnsi="Calibri"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5151.56</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5151.56</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3949.91</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815.46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20.65</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3134.45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79.35</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260" w:firstLineChars="600"/>
        <w:rPr>
          <w:rFonts w:ascii="仿宋_GB2312" w:hAnsi="Times New Roman" w:eastAsia="仿宋_GB2312" w:cs="Wingdings"/>
          <w:sz w:val="32"/>
          <w:szCs w:val="32"/>
        </w:rPr>
      </w:pPr>
      <w:r>
        <w:rPr>
          <w:rFonts w:hint="eastAsia" w:eastAsiaTheme="minorEastAsia"/>
          <w:lang w:eastAsia="zh-CN"/>
        </w:rPr>
        <w:drawing>
          <wp:anchor distT="0" distB="0" distL="114300" distR="114300" simplePos="0" relativeHeight="251668480" behindDoc="0" locked="0" layoutInCell="1" allowOverlap="1">
            <wp:simplePos x="0" y="0"/>
            <wp:positionH relativeFrom="column">
              <wp:posOffset>499745</wp:posOffset>
            </wp:positionH>
            <wp:positionV relativeFrom="paragraph">
              <wp:posOffset>-986790</wp:posOffset>
            </wp:positionV>
            <wp:extent cx="4451350" cy="1962150"/>
            <wp:effectExtent l="4445" t="4445" r="20955" b="14605"/>
            <wp:wrapNone/>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outlineLvl w:val="1"/>
        <w:rPr>
          <w:rFonts w:ascii="黑体" w:hAnsi="Calibri" w:eastAsia="黑体" w:cs="Times New Roman"/>
          <w:sz w:val="32"/>
          <w:szCs w:val="32"/>
        </w:rPr>
      </w:pPr>
    </w:p>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2</w:t>
      </w:r>
      <w:r>
        <w:rPr>
          <w:rFonts w:hint="eastAsia" w:ascii="楷体_GB2312" w:hAnsi="楷体_GB2312" w:eastAsia="楷体_GB2312" w:cs="楷体_GB2312"/>
          <w:sz w:val="24"/>
        </w:rPr>
        <w:t>：</w:t>
      </w:r>
      <w:r>
        <w:rPr>
          <w:rFonts w:hint="eastAsia" w:ascii="仿宋_GB2312" w:hAnsi="Times New Roman" w:eastAsia="仿宋_GB2312" w:cs="Wingdings"/>
          <w:sz w:val="28"/>
          <w:szCs w:val="28"/>
        </w:rPr>
        <w:t>支出决算构成情况（按支出性质）</w:t>
      </w:r>
    </w:p>
    <w:p>
      <w:pPr>
        <w:adjustRightInd w:val="0"/>
        <w:snapToGrid w:val="0"/>
        <w:spacing w:after="160"/>
        <w:jc w:val="center"/>
        <w:rPr>
          <w:rFonts w:ascii="楷体_GB2312" w:hAnsi="楷体_GB2312" w:eastAsia="楷体_GB2312" w:cs="楷体_GB2312"/>
          <w:sz w:val="24"/>
        </w:rPr>
      </w:pPr>
    </w:p>
    <w:p>
      <w:pPr>
        <w:keepNext/>
        <w:keepLines/>
        <w:snapToGrid w:val="0"/>
        <w:spacing w:line="600" w:lineRule="exact"/>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5151.56</w:t>
      </w:r>
      <w:r>
        <w:rPr>
          <w:rFonts w:hint="eastAsia" w:ascii="仿宋_GB2312" w:hAnsi="Times New Roman" w:eastAsia="仿宋_GB2312" w:cs="Wingdings"/>
          <w:sz w:val="32"/>
          <w:szCs w:val="32"/>
        </w:rPr>
        <w:t>万元,比2019年度减少</w:t>
      </w:r>
      <w:r>
        <w:rPr>
          <w:rFonts w:hint="eastAsia" w:ascii="仿宋_GB2312" w:hAnsi="Times New Roman" w:eastAsia="仿宋_GB2312" w:cs="Wingdings"/>
          <w:sz w:val="32"/>
          <w:szCs w:val="32"/>
          <w:lang w:val="en-US" w:eastAsia="zh-CN"/>
        </w:rPr>
        <w:t>1108.38</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17.71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项目资金减少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3949.91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比</w:t>
      </w:r>
      <w:r>
        <w:rPr>
          <w:rFonts w:hint="eastAsia" w:ascii="仿宋_GB2312" w:hAnsi="Times New Roman" w:eastAsia="仿宋_GB2312" w:cs="Wingdings"/>
          <w:sz w:val="32"/>
          <w:szCs w:val="32"/>
          <w:lang w:val="en-US" w:eastAsia="zh-CN"/>
        </w:rPr>
        <w:t>2019年度</w:t>
      </w:r>
      <w:r>
        <w:rPr>
          <w:rFonts w:hint="eastAsia" w:ascii="仿宋_GB2312" w:hAnsi="Times New Roman" w:eastAsia="仿宋_GB2312" w:cs="Wingdings"/>
          <w:sz w:val="32"/>
          <w:szCs w:val="32"/>
        </w:rPr>
        <w:t>减少</w:t>
      </w:r>
      <w:r>
        <w:rPr>
          <w:rFonts w:hint="eastAsia" w:ascii="仿宋_GB2312" w:hAnsi="Times New Roman" w:eastAsia="仿宋_GB2312" w:cs="Wingdings"/>
          <w:sz w:val="32"/>
          <w:szCs w:val="32"/>
          <w:lang w:val="en-US" w:eastAsia="zh-CN"/>
        </w:rPr>
        <w:t>2503.96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380.80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项目资金减少</w:t>
      </w:r>
      <w:r>
        <w:rPr>
          <w:rFonts w:hint="eastAsia" w:ascii="仿宋_GB2312" w:hAnsi="Times New Roman" w:eastAsia="仿宋_GB2312" w:cs="Wingdings"/>
          <w:sz w:val="32"/>
          <w:szCs w:val="32"/>
        </w:rPr>
        <w:t>。</w:t>
      </w:r>
    </w:p>
    <w:p>
      <w:pPr>
        <w:adjustRightInd w:val="0"/>
        <w:snapToGrid w:val="0"/>
        <w:spacing w:line="600" w:lineRule="exact"/>
        <w:ind w:firstLine="420" w:firstLineChars="200"/>
        <w:rPr>
          <w:rFonts w:hint="eastAsia" w:ascii="仿宋_GB2312" w:hAnsi="Times New Roman" w:eastAsia="仿宋_GB2312" w:cs="Wingdings"/>
          <w:sz w:val="32"/>
          <w:szCs w:val="32"/>
          <w:highlight w:val="yellow"/>
        </w:rPr>
      </w:pPr>
      <w:r>
        <w:rPr>
          <w:rFonts w:hint="eastAsia" w:eastAsiaTheme="minorEastAsia"/>
          <w:lang w:eastAsia="zh-CN"/>
        </w:rPr>
        <w:drawing>
          <wp:anchor distT="0" distB="0" distL="114300" distR="114300" simplePos="0" relativeHeight="251670528" behindDoc="0" locked="0" layoutInCell="1" allowOverlap="1">
            <wp:simplePos x="0" y="0"/>
            <wp:positionH relativeFrom="column">
              <wp:posOffset>641985</wp:posOffset>
            </wp:positionH>
            <wp:positionV relativeFrom="paragraph">
              <wp:posOffset>299720</wp:posOffset>
            </wp:positionV>
            <wp:extent cx="4347210" cy="2867025"/>
            <wp:effectExtent l="4445" t="4445" r="10795" b="5080"/>
            <wp:wrapNone/>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5151.56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582.58</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4267.29</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项目及人员经费的增加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3949.91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446.69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3065.64</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项目及人员经费的增加</w:t>
      </w:r>
      <w:r>
        <w:rPr>
          <w:rFonts w:hint="eastAsia" w:ascii="仿宋_GB2312" w:hAnsi="Times New Roman" w:eastAsia="仿宋_GB2312" w:cs="Wingdings"/>
          <w:sz w:val="32"/>
          <w:szCs w:val="32"/>
        </w:rPr>
        <w:t>。</w:t>
      </w:r>
    </w:p>
    <w:p>
      <w:pPr>
        <w:adjustRightInd w:val="0"/>
        <w:snapToGrid w:val="0"/>
        <w:spacing w:line="600" w:lineRule="exact"/>
        <w:ind w:firstLine="420" w:firstLineChars="200"/>
        <w:rPr>
          <w:rFonts w:hint="eastAsia" w:ascii="仿宋_GB2312" w:hAnsi="Times New Roman" w:eastAsia="仿宋_GB2312" w:cs="Wingdings"/>
          <w:sz w:val="32"/>
          <w:szCs w:val="32"/>
          <w:highlight w:val="yellow"/>
          <w:lang w:val="en-US" w:eastAsia="zh-CN"/>
        </w:rPr>
      </w:pPr>
      <w:r>
        <w:rPr>
          <w:rFonts w:hint="eastAsia" w:eastAsiaTheme="minorEastAsia"/>
          <w:lang w:eastAsia="zh-CN"/>
        </w:rPr>
        <w:drawing>
          <wp:anchor distT="0" distB="0" distL="114300" distR="114300" simplePos="0" relativeHeight="251671552" behindDoc="0" locked="0" layoutInCell="1" allowOverlap="1">
            <wp:simplePos x="0" y="0"/>
            <wp:positionH relativeFrom="column">
              <wp:posOffset>556895</wp:posOffset>
            </wp:positionH>
            <wp:positionV relativeFrom="paragraph">
              <wp:posOffset>147320</wp:posOffset>
            </wp:positionV>
            <wp:extent cx="4280535" cy="2076450"/>
            <wp:effectExtent l="4445" t="4445" r="20320" b="14605"/>
            <wp:wrapNone/>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adjustRightInd w:val="0"/>
        <w:snapToGrid w:val="0"/>
        <w:spacing w:line="600" w:lineRule="exact"/>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3949.91</w:t>
      </w:r>
      <w:r>
        <w:rPr>
          <w:rFonts w:hint="eastAsia" w:ascii="仿宋_GB2312" w:hAnsi="Times New Roman" w:eastAsia="仿宋_GB2312" w:cs="Wingdings"/>
          <w:sz w:val="32"/>
          <w:szCs w:val="32"/>
        </w:rPr>
        <w:t>万元，主要用于以下方面：一般公共服务（类）支出</w:t>
      </w:r>
      <w:r>
        <w:rPr>
          <w:rFonts w:hint="eastAsia" w:ascii="仿宋_GB2312" w:hAnsi="Times New Roman" w:eastAsia="仿宋_GB2312" w:cs="Wingdings"/>
          <w:sz w:val="32"/>
          <w:szCs w:val="32"/>
          <w:lang w:val="en-US" w:eastAsia="zh-CN"/>
        </w:rPr>
        <w:t>2429.75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61.51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科学技术支出</w:t>
      </w:r>
      <w:r>
        <w:rPr>
          <w:rFonts w:hint="eastAsia" w:ascii="仿宋_GB2312" w:hAnsi="Times New Roman" w:eastAsia="仿宋_GB2312" w:cs="Wingdings"/>
          <w:sz w:val="32"/>
          <w:szCs w:val="32"/>
          <w:lang w:val="en-US" w:eastAsia="zh-CN"/>
        </w:rPr>
        <w:t>37.5万元，占0.95%；</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65.58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1.66</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47.8</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1.21</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24.8万元，占0.63</w:t>
      </w:r>
      <w:r>
        <w:rPr>
          <w:rFonts w:hint="default"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Wingdings"/>
          <w:sz w:val="32"/>
          <w:szCs w:val="32"/>
          <w:lang w:eastAsia="zh-CN"/>
        </w:rPr>
        <w:t>节能环保支出</w:t>
      </w:r>
      <w:r>
        <w:rPr>
          <w:rFonts w:hint="eastAsia" w:ascii="仿宋_GB2312" w:hAnsi="Times New Roman" w:eastAsia="仿宋_GB2312" w:cs="Wingdings"/>
          <w:sz w:val="32"/>
          <w:szCs w:val="32"/>
          <w:lang w:val="en-US" w:eastAsia="zh-CN"/>
        </w:rPr>
        <w:t>681.57万元，占17.26%；资源勘探工业信息等支出375.2万元，占9.50%；商业服务业等支出79.24万元，占2.01%；粮油物资储备支出208.47万元，占5.27%</w:t>
      </w:r>
    </w:p>
    <w:p>
      <w:pPr>
        <w:adjustRightInd w:val="0"/>
        <w:snapToGrid w:val="0"/>
        <w:spacing w:line="600" w:lineRule="exact"/>
        <w:rPr>
          <w:rFonts w:ascii="楷体_GB2312" w:hAnsi="Times New Roman" w:eastAsia="楷体_GB2312" w:cs="Mongolian Baiti"/>
          <w:b/>
          <w:bCs/>
          <w:sz w:val="32"/>
          <w:szCs w:val="32"/>
        </w:rPr>
      </w:pPr>
      <w:r>
        <w:rPr>
          <w:rFonts w:hint="eastAsia" w:eastAsiaTheme="minorEastAsia"/>
          <w:lang w:eastAsia="zh-CN"/>
        </w:rPr>
        <w:drawing>
          <wp:anchor distT="0" distB="0" distL="114300" distR="114300" simplePos="0" relativeHeight="251669504" behindDoc="0" locked="0" layoutInCell="1" allowOverlap="1">
            <wp:simplePos x="0" y="0"/>
            <wp:positionH relativeFrom="column">
              <wp:posOffset>328930</wp:posOffset>
            </wp:positionH>
            <wp:positionV relativeFrom="paragraph">
              <wp:posOffset>80645</wp:posOffset>
            </wp:positionV>
            <wp:extent cx="4784725" cy="2076450"/>
            <wp:effectExtent l="4445" t="5080" r="11430" b="13970"/>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r>
        <w:rPr>
          <w:sz w:val="32"/>
        </w:rPr>
        <mc:AlternateContent>
          <mc:Choice Requires="wps">
            <w:drawing>
              <wp:anchor distT="0" distB="0" distL="114300" distR="114300" simplePos="0" relativeHeight="251661312" behindDoc="1" locked="0" layoutInCell="1" allowOverlap="1">
                <wp:simplePos x="0" y="0"/>
                <wp:positionH relativeFrom="column">
                  <wp:posOffset>981075</wp:posOffset>
                </wp:positionH>
                <wp:positionV relativeFrom="paragraph">
                  <wp:posOffset>132080</wp:posOffset>
                </wp:positionV>
                <wp:extent cx="3576320" cy="571500"/>
                <wp:effectExtent l="0" t="0" r="5080" b="0"/>
                <wp:wrapNone/>
                <wp:docPr id="164" name="文本框 32"/>
                <wp:cNvGraphicFramePr/>
                <a:graphic xmlns:a="http://schemas.openxmlformats.org/drawingml/2006/main">
                  <a:graphicData uri="http://schemas.microsoft.com/office/word/2010/wordprocessingShape">
                    <wps:wsp>
                      <wps:cNvSpPr txBox="1"/>
                      <wps:spPr>
                        <a:xfrm>
                          <a:off x="1953260" y="5655310"/>
                          <a:ext cx="3576320" cy="5715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0.4pt;height:45pt;width:281.6pt;z-index:-251655168;mso-width-relative:page;mso-height-relative:page;" fillcolor="#FFFFFF" filled="t" stroked="f" coordsize="21600,21600" o:gfxdata="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A9zIzLUAAAACgEAAA8AAAAAAAAAAQAgAAAAIgAAAGRycy9kb3ducmV2LnhtbFBLAQIUABQAAAAI&#10;AIdO4kBo7lYpYwIAAKwEAAAOAAAAAAAAAAEAIAAAACMBAABkcnMvZTJvRG9jLnhtbFBLBQYAAAAA&#10;BgAGAFkBAAD4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815.46</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582.90</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232.56</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仿宋_GB2312" w:hAnsi="Times New Roman" w:eastAsia="仿宋_GB2312" w:cs="Wingdings"/>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3.26</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2.93</w:t>
      </w:r>
      <w:r>
        <w:rPr>
          <w:rFonts w:hint="default" w:ascii="仿宋_GB2312" w:hAnsi="Times New Roman" w:eastAsia="仿宋_GB2312" w:cs="Wingdings"/>
          <w:sz w:val="32"/>
          <w:szCs w:val="32"/>
        </w:rPr>
        <w:t>万</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89.88</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0.33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10.12</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Wingdings"/>
          <w:sz w:val="32"/>
          <w:szCs w:val="32"/>
        </w:rPr>
        <w:t>；较2019年度</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0.10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降低</w:t>
      </w:r>
      <w:r>
        <w:rPr>
          <w:rFonts w:hint="eastAsia" w:ascii="仿宋_GB2312" w:hAnsi="Times New Roman" w:eastAsia="仿宋_GB2312" w:cs="Wingdings"/>
          <w:sz w:val="32"/>
          <w:szCs w:val="32"/>
          <w:lang w:val="en-US" w:eastAsia="zh-CN"/>
        </w:rPr>
        <w:t>3.30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公务用车次数减少</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default" w:ascii="仿宋_GB2312" w:hAnsi="仿宋_GB2312" w:eastAsia="仿宋_GB2312" w:cs="仿宋_GB2312"/>
          <w:sz w:val="32"/>
          <w:szCs w:val="32"/>
        </w:rPr>
        <w:t>0</w:t>
      </w:r>
      <w:r>
        <w:rPr>
          <w:rFonts w:hint="eastAsia" w:ascii="仿宋_GB2312" w:hAnsi="仿宋_GB2312" w:eastAsia="仿宋_GB2312" w:cs="仿宋_GB2312"/>
          <w:sz w:val="32"/>
          <w:szCs w:val="32"/>
        </w:rPr>
        <w:t>万元。</w:t>
      </w:r>
      <w:r>
        <w:rPr>
          <w:rFonts w:hint="eastAsia" w:ascii="仿宋_GB2312" w:hAnsi="Times New Roman" w:eastAsia="仿宋_GB2312" w:cs="Wingdings"/>
          <w:sz w:val="32"/>
          <w:szCs w:val="32"/>
        </w:rPr>
        <w:t>因公出国（境）团组</w:t>
      </w:r>
      <w:r>
        <w:rPr>
          <w:rFonts w:hint="default" w:ascii="仿宋_GB2312" w:hAnsi="Times New Roman" w:eastAsia="仿宋_GB2312" w:cs="Wingdings"/>
          <w:sz w:val="32"/>
          <w:szCs w:val="32"/>
        </w:rPr>
        <w:t>0</w:t>
      </w:r>
      <w:r>
        <w:rPr>
          <w:rFonts w:hint="eastAsia" w:ascii="仿宋_GB2312" w:hAnsi="Times New Roman" w:eastAsia="仿宋_GB2312" w:cs="Wingdings"/>
          <w:sz w:val="32"/>
          <w:szCs w:val="32"/>
        </w:rPr>
        <w:t>个、共</w:t>
      </w:r>
      <w:r>
        <w:rPr>
          <w:rFonts w:hint="default" w:ascii="仿宋_GB2312" w:hAnsi="Times New Roman" w:eastAsia="仿宋_GB2312" w:cs="Wingdings"/>
          <w:sz w:val="32"/>
          <w:szCs w:val="32"/>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w:t>
      </w:r>
      <w:r>
        <w:rPr>
          <w:rFonts w:hint="eastAsia" w:ascii="仿宋_GB2312" w:hAnsi="Times New Roman" w:eastAsia="仿宋_GB2312" w:cs="DengXian-Regular"/>
          <w:sz w:val="32"/>
          <w:szCs w:val="32"/>
          <w:lang w:eastAsia="zh-CN"/>
        </w:rPr>
        <w:t>主要是本单位无因公出国（境）费支出</w:t>
      </w:r>
      <w:r>
        <w:rPr>
          <w:rFonts w:hint="eastAsia" w:ascii="仿宋_GB2312" w:hAnsi="Times New Roman" w:eastAsia="仿宋_GB2312" w:cs="DengXian-Regular"/>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2.93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97.67</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较预算增减少</w:t>
      </w:r>
      <w:r>
        <w:rPr>
          <w:rFonts w:hint="eastAsia" w:ascii="仿宋_GB2312" w:hAnsi="Times New Roman" w:eastAsia="仿宋_GB2312" w:cs="Wingdings"/>
          <w:sz w:val="32"/>
          <w:szCs w:val="32"/>
          <w:lang w:val="en-US" w:eastAsia="zh-CN"/>
        </w:rPr>
        <w:t>0.07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2.33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0.10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降低</w:t>
      </w:r>
      <w:r>
        <w:rPr>
          <w:rFonts w:hint="eastAsia" w:ascii="仿宋_GB2312" w:hAnsi="Times New Roman" w:eastAsia="仿宋_GB2312" w:cs="Wingdings"/>
          <w:sz w:val="32"/>
          <w:szCs w:val="32"/>
          <w:lang w:val="en-US" w:eastAsia="zh-CN"/>
        </w:rPr>
        <w:t>3.30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公务用车次数减少</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color w:val="000000"/>
          <w:sz w:val="32"/>
          <w:szCs w:val="32"/>
          <w:highlight w:val="yellow"/>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本单位未发生无公务用车购置经费支出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本单位未发生无公务用车购置经费支出</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2.93</w:t>
      </w:r>
      <w:r>
        <w:rPr>
          <w:rFonts w:hint="eastAsia" w:ascii="仿宋_GB2312" w:hAnsi="Times New Roman" w:eastAsia="仿宋_GB2312" w:cs="Wingdings"/>
          <w:sz w:val="32"/>
          <w:szCs w:val="32"/>
        </w:rPr>
        <w:t>万元。公车运行维护费支出较预算减少</w:t>
      </w:r>
      <w:r>
        <w:rPr>
          <w:rFonts w:hint="eastAsia" w:ascii="仿宋_GB2312" w:hAnsi="Times New Roman" w:eastAsia="仿宋_GB2312" w:cs="Wingdings"/>
          <w:sz w:val="32"/>
          <w:szCs w:val="32"/>
          <w:lang w:val="en-US" w:eastAsia="zh-CN"/>
        </w:rPr>
        <w:t>0.07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2.33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减少公务用车次数</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0.10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降低</w:t>
      </w:r>
      <w:r>
        <w:rPr>
          <w:rFonts w:hint="eastAsia" w:ascii="仿宋_GB2312" w:hAnsi="Times New Roman" w:eastAsia="仿宋_GB2312" w:cs="Wingdings"/>
          <w:sz w:val="32"/>
          <w:szCs w:val="32"/>
          <w:lang w:val="en-US" w:eastAsia="zh-CN"/>
        </w:rPr>
        <w:t>3.3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公务用车次数减少</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0.26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本单位未发生公务接待费用</w:t>
      </w:r>
      <w:r>
        <w:rPr>
          <w:rFonts w:hint="eastAsia" w:ascii="仿宋_GB2312" w:hAnsi="Times New Roman" w:eastAsia="仿宋_GB2312" w:cs="Wingdings"/>
          <w:sz w:val="32"/>
          <w:szCs w:val="32"/>
        </w:rPr>
        <w:t>；较上年度增加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本单位未发生公务接待费用</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3134.45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 w:hAnsi="仿宋" w:eastAsia="仿宋" w:cs="仿宋"/>
          <w:sz w:val="30"/>
          <w:szCs w:val="30"/>
          <w:lang w:val="en-US" w:eastAsia="zh-CN"/>
        </w:rPr>
        <w:t>智能港南北通道建设项目</w:t>
      </w:r>
      <w:r>
        <w:rPr>
          <w:rFonts w:hint="eastAsia" w:ascii="仿宋_GB2312" w:hAnsi="仿宋_GB2312" w:eastAsia="仿宋_GB2312" w:cs="仿宋_GB2312"/>
          <w:sz w:val="32"/>
          <w:szCs w:val="32"/>
        </w:rPr>
        <w:t>”开展了部门重点评价，涉及一般公共预算支出</w:t>
      </w:r>
      <w:r>
        <w:rPr>
          <w:rFonts w:hint="eastAsia" w:ascii="仿宋" w:hAnsi="仿宋" w:eastAsia="仿宋" w:cs="仿宋"/>
          <w:sz w:val="30"/>
          <w:szCs w:val="30"/>
          <w:lang w:val="en-US" w:eastAsia="zh-CN"/>
        </w:rPr>
        <w:t>1446.32</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p>
    <w:p>
      <w:pPr>
        <w:widowControl w:val="0"/>
        <w:wordWrap/>
        <w:adjustRightInd w:val="0"/>
        <w:snapToGrid w:val="0"/>
        <w:spacing w:line="360" w:lineRule="auto"/>
        <w:ind w:left="0" w:leftChars="0" w:right="0" w:firstLine="600" w:firstLineChars="200"/>
        <w:textAlignment w:val="auto"/>
        <w:outlineLvl w:val="9"/>
        <w:rPr>
          <w:rFonts w:ascii="仿宋_GB2312" w:hAnsi="仿宋_GB2312" w:eastAsia="仿宋_GB2312" w:cs="仿宋_GB2312"/>
          <w:sz w:val="32"/>
          <w:szCs w:val="32"/>
        </w:rPr>
      </w:pPr>
      <w:r>
        <w:rPr>
          <w:rFonts w:hint="eastAsia" w:ascii="仿宋" w:hAnsi="仿宋" w:eastAsia="仿宋" w:cs="仿宋"/>
          <w:sz w:val="30"/>
          <w:szCs w:val="30"/>
          <w:lang w:val="en-US" w:eastAsia="zh-CN"/>
        </w:rPr>
        <w:t>智能港南北通道建设</w:t>
      </w:r>
      <w:r>
        <w:rPr>
          <w:rFonts w:hint="eastAsia" w:ascii="仿宋_GB2312" w:hAnsi="仿宋_GB2312" w:eastAsia="仿宋_GB2312" w:cs="仿宋_GB2312"/>
          <w:sz w:val="32"/>
          <w:szCs w:val="32"/>
        </w:rPr>
        <w:t>项目绩效自评综述：根据年初设定的绩效目标，</w:t>
      </w:r>
      <w:r>
        <w:rPr>
          <w:rFonts w:hint="eastAsia" w:ascii="仿宋" w:hAnsi="仿宋" w:eastAsia="仿宋" w:cs="仿宋"/>
          <w:sz w:val="30"/>
          <w:szCs w:val="30"/>
          <w:lang w:val="en-US" w:eastAsia="zh-CN"/>
        </w:rPr>
        <w:t>智能港南北通道建设</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 w:hAnsi="仿宋" w:eastAsia="仿宋" w:cs="仿宋"/>
          <w:sz w:val="30"/>
          <w:szCs w:val="30"/>
          <w:lang w:val="en-US" w:eastAsia="zh-CN"/>
        </w:rPr>
        <w:t>1446.32</w:t>
      </w:r>
      <w:r>
        <w:rPr>
          <w:rFonts w:hint="eastAsia" w:ascii="仿宋_GB2312" w:hAnsi="仿宋_GB2312" w:eastAsia="仿宋_GB2312" w:cs="仿宋_GB2312"/>
          <w:sz w:val="32"/>
          <w:szCs w:val="32"/>
        </w:rPr>
        <w:t>万元，执行数为</w:t>
      </w:r>
      <w:r>
        <w:rPr>
          <w:rFonts w:hint="eastAsia" w:ascii="仿宋" w:hAnsi="仿宋" w:eastAsia="仿宋" w:cs="仿宋"/>
          <w:sz w:val="30"/>
          <w:szCs w:val="30"/>
          <w:lang w:val="en-US" w:eastAsia="zh-CN"/>
        </w:rPr>
        <w:t>1446.32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eastAsia="仿宋_GB2312"/>
          <w:sz w:val="32"/>
          <w:szCs w:val="32"/>
        </w:rPr>
        <w:t>数量</w:t>
      </w:r>
      <w:r>
        <w:rPr>
          <w:rFonts w:hint="eastAsia" w:ascii="仿宋_GB2312" w:eastAsia="仿宋_GB2312"/>
          <w:sz w:val="32"/>
          <w:szCs w:val="32"/>
          <w:lang w:eastAsia="zh-CN"/>
        </w:rPr>
        <w:t>指标：其中：混凝土路面工程</w:t>
      </w:r>
      <w:r>
        <w:rPr>
          <w:rFonts w:hint="eastAsia" w:ascii="仿宋_GB2312" w:eastAsia="仿宋_GB2312"/>
          <w:sz w:val="32"/>
          <w:szCs w:val="32"/>
          <w:lang w:val="en-US" w:eastAsia="zh-CN"/>
        </w:rPr>
        <w:t>预期完成工程量25000㎡，实际完成工程量27522㎡；排水管网工程，预期工程量1000㎡，实际完成工程量1219㎡。</w:t>
      </w:r>
      <w:r>
        <w:rPr>
          <w:rFonts w:hint="eastAsia" w:ascii="仿宋_GB2312" w:hAnsi="仿宋_GB2312" w:eastAsia="仿宋_GB2312" w:cs="仿宋_GB2312"/>
          <w:sz w:val="32"/>
          <w:szCs w:val="32"/>
        </w:rPr>
        <w:t>二是</w:t>
      </w:r>
      <w:r>
        <w:rPr>
          <w:rFonts w:hint="eastAsia" w:ascii="仿宋_GB2312" w:eastAsia="仿宋_GB2312"/>
          <w:sz w:val="32"/>
          <w:szCs w:val="32"/>
          <w:lang w:eastAsia="zh-CN"/>
        </w:rPr>
        <w:t>社会效益：智能港南北通道建成后，有效改善了道路通行能力，便与车辆和人员进出，完善了智能港的基础设施，提升了社会形象。</w:t>
      </w:r>
      <w:r>
        <w:rPr>
          <w:rFonts w:hint="eastAsia" w:ascii="仿宋_GB2312" w:hAnsi="仿宋_GB2312" w:eastAsia="仿宋_GB2312" w:cs="仿宋_GB2312"/>
          <w:sz w:val="32"/>
          <w:szCs w:val="32"/>
        </w:rPr>
        <w:t>。发现的主要问题及原因：一是</w:t>
      </w:r>
      <w:r>
        <w:rPr>
          <w:rFonts w:hint="eastAsia" w:ascii="仿宋_GB2312" w:eastAsia="仿宋_GB2312"/>
          <w:sz w:val="32"/>
          <w:szCs w:val="32"/>
        </w:rPr>
        <w:t>对绩效评价重视度较弱，未进行专家论证；</w:t>
      </w:r>
      <w:r>
        <w:rPr>
          <w:rFonts w:hint="eastAsia" w:ascii="仿宋_GB2312" w:hAnsi="仿宋_GB2312" w:eastAsia="仿宋_GB2312" w:cs="仿宋_GB2312"/>
          <w:sz w:val="32"/>
          <w:szCs w:val="32"/>
        </w:rPr>
        <w:t>；二是</w:t>
      </w:r>
      <w:r>
        <w:rPr>
          <w:rFonts w:hint="eastAsia" w:ascii="仿宋_GB2312" w:eastAsia="仿宋_GB2312"/>
          <w:sz w:val="32"/>
          <w:szCs w:val="32"/>
        </w:rPr>
        <w:t>业务管理制度、技术鉴定资料、项目资金管理办法、财务监管机制</w:t>
      </w:r>
      <w:r>
        <w:rPr>
          <w:rFonts w:hint="eastAsia" w:ascii="仿宋_GB2312" w:eastAsia="仿宋_GB2312"/>
          <w:sz w:val="32"/>
          <w:szCs w:val="32"/>
          <w:lang w:eastAsia="zh-CN"/>
        </w:rPr>
        <w:t>还需进一步</w:t>
      </w:r>
      <w:r>
        <w:rPr>
          <w:rFonts w:hint="eastAsia" w:ascii="仿宋_GB2312" w:eastAsia="仿宋_GB2312"/>
          <w:sz w:val="32"/>
          <w:szCs w:val="32"/>
        </w:rPr>
        <w:t>完善</w:t>
      </w:r>
      <w:r>
        <w:rPr>
          <w:rFonts w:hint="eastAsia" w:ascii="仿宋_GB2312" w:hAnsi="仿宋_GB2312" w:eastAsia="仿宋_GB2312" w:cs="仿宋_GB2312"/>
          <w:sz w:val="32"/>
          <w:szCs w:val="32"/>
        </w:rPr>
        <w:t>。下一步改进措施：一是</w:t>
      </w:r>
      <w:r>
        <w:rPr>
          <w:rFonts w:hint="eastAsia" w:ascii="仿宋_GB2312" w:eastAsia="仿宋_GB2312"/>
          <w:sz w:val="32"/>
          <w:szCs w:val="32"/>
        </w:rPr>
        <w:t>高度重视预算绩效评价工作，成立绩效评价小组，建立绩效评价指标体系，制定绩效评价方案，明确各工作职能机构和人员，扎实开展绩效自评工作，事前对工程的讨论研究，尽可能要有专家认证</w:t>
      </w:r>
      <w:r>
        <w:rPr>
          <w:rFonts w:hint="eastAsia" w:ascii="仿宋_GB2312" w:hAnsi="仿宋_GB2312" w:eastAsia="仿宋_GB2312" w:cs="仿宋_GB2312"/>
          <w:sz w:val="32"/>
          <w:szCs w:val="32"/>
        </w:rPr>
        <w:t>；二是</w:t>
      </w:r>
      <w:r>
        <w:rPr>
          <w:rFonts w:hint="eastAsia" w:ascii="仿宋_GB2312" w:eastAsia="仿宋_GB2312"/>
          <w:sz w:val="32"/>
          <w:szCs w:val="32"/>
        </w:rPr>
        <w:t>严格按照相关规定全面开展项目支出绩效评价工作，包括绩效目标的设定，资金投入和使用情况，完善相关制度、资料、机制等，绩效目标的实现程度和效果</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232.56</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13.55</w:t>
      </w:r>
      <w:r>
        <w:rPr>
          <w:rFonts w:hint="eastAsia" w:ascii="仿宋_GB2312" w:hAnsi="仿宋_GB2312" w:eastAsia="仿宋_GB2312" w:cs="仿宋_GB2312"/>
          <w:sz w:val="32"/>
          <w:szCs w:val="32"/>
        </w:rPr>
        <w:t>万元，降低</w:t>
      </w:r>
      <w:r>
        <w:rPr>
          <w:rFonts w:hint="eastAsia" w:ascii="仿宋_GB2312" w:hAnsi="仿宋_GB2312" w:eastAsia="仿宋_GB2312" w:cs="仿宋_GB2312"/>
          <w:sz w:val="32"/>
          <w:szCs w:val="32"/>
          <w:lang w:val="en-US" w:eastAsia="zh-CN"/>
        </w:rPr>
        <w:t>5.51</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日常经费支出减少</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辆，比上年增加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辆，主要是</w:t>
      </w:r>
      <w:r>
        <w:rPr>
          <w:rFonts w:hint="eastAsia" w:ascii="仿宋_GB2312" w:hAnsi="仿宋_GB2312" w:eastAsia="仿宋_GB2312" w:cs="仿宋_GB2312"/>
          <w:sz w:val="32"/>
          <w:szCs w:val="32"/>
          <w:lang w:eastAsia="zh-CN"/>
        </w:rPr>
        <w:t>本年度未发生车辆购置费用</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Times New Roman" w:eastAsia="仿宋_GB2312" w:cs="DengXian-Regular"/>
          <w:sz w:val="32"/>
          <w:szCs w:val="32"/>
          <w:lang w:eastAsia="zh-CN"/>
        </w:rPr>
        <w:t>本单无</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仿宋_GB2312" w:eastAsia="仿宋_GB2312" w:cs="仿宋_GB2312"/>
          <w:sz w:val="32"/>
          <w:szCs w:val="32"/>
        </w:rPr>
        <w:t xml:space="preserve"> ，单位价值100万元以上专用设备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Times New Roman" w:eastAsia="仿宋_GB2312" w:cs="DengXian-Regular"/>
          <w:sz w:val="32"/>
          <w:szCs w:val="32"/>
          <w:lang w:eastAsia="zh-CN"/>
        </w:rPr>
        <w:t>本单无</w:t>
      </w:r>
      <w:r>
        <w:rPr>
          <w:rFonts w:hint="eastAsia" w:ascii="仿宋_GB2312" w:hAnsi="Times New Roman" w:eastAsia="仿宋_GB2312" w:cs="DengXian-Regular"/>
          <w:sz w:val="32"/>
          <w:szCs w:val="32"/>
        </w:rPr>
        <w:t>价值</w:t>
      </w:r>
      <w:r>
        <w:rPr>
          <w:rFonts w:hint="eastAsia" w:ascii="仿宋_GB2312" w:hAnsi="Times New Roman" w:eastAsia="仿宋_GB2312" w:cs="DengXian-Regular"/>
          <w:sz w:val="32"/>
          <w:szCs w:val="32"/>
          <w:lang w:val="en-US" w:eastAsia="zh-CN"/>
        </w:rPr>
        <w:t>10</w:t>
      </w:r>
      <w:r>
        <w:rPr>
          <w:rFonts w:hint="eastAsia" w:ascii="仿宋_GB2312" w:hAnsi="TimesNewRomanPSMT" w:eastAsia="仿宋_GB2312" w:cs="TimesNewRomanPSMT"/>
          <w:sz w:val="32"/>
          <w:szCs w:val="32"/>
        </w:rPr>
        <w:t>0</w:t>
      </w:r>
      <w:r>
        <w:rPr>
          <w:rFonts w:hint="eastAsia" w:ascii="仿宋_GB2312" w:hAnsi="Times New Roman" w:eastAsia="仿宋_GB2312" w:cs="DengXian-Regular"/>
          <w:sz w:val="32"/>
          <w:szCs w:val="32"/>
        </w:rPr>
        <w:t>万元以上通用设备</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after="0" w:line="56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 xml:space="preserve">1. </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政府性基金预算财政拨款收入支出决算表、国有资本经营预算财政拨款收入支出决算表、政府采购情况表无收支及结转结余情况，故政府性基金预算财政拨款收入支出决算表、国有资本经营预算财政拨款收入支出决算表、政府采购情况表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18"/>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5"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8"/>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spacing w:line="400" w:lineRule="exact"/>
        <w:jc w:val="both"/>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bookmarkStart w:id="0" w:name="_GoBack"/>
      <w:bookmarkEnd w:id="0"/>
    </w:p>
    <w:p>
      <w:pPr>
        <w:jc w:val="left"/>
      </w:pPr>
    </w:p>
    <w:p>
      <w:r>
        <w:br w:type="page"/>
      </w:r>
    </w:p>
    <w:p>
      <w:r>
        <w:br w:type="page"/>
      </w:r>
    </w:p>
    <w:p>
      <w:pP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p>
    <w:p>
      <w:pPr>
        <w:widowControl/>
        <w:jc w:val="both"/>
        <w:textAlignment w:val="center"/>
        <w:sectPr>
          <w:pgSz w:w="16838" w:h="11906" w:orient="landscape"/>
          <w:pgMar w:top="1531" w:right="2098" w:bottom="1531" w:left="1984" w:header="851" w:footer="992" w:gutter="0"/>
          <w:cols w:space="425" w:num="1"/>
          <w:docGrid w:type="lines" w:linePitch="312" w:charSpace="0"/>
        </w:sectPr>
      </w:pPr>
    </w:p>
    <w:p>
      <w:r>
        <w:rPr>
          <w:sz w:val="20"/>
          <w:szCs w:val="22"/>
        </w:rPr>
        <w:tab/>
      </w:r>
      <w:r>
        <w:tab/>
      </w:r>
      <w:r>
        <w:tab/>
      </w:r>
      <w:r>
        <w:tab/>
      </w:r>
      <w:r>
        <w:tab/>
      </w:r>
      <w:r>
        <w:tab/>
      </w:r>
      <w:r>
        <w:tab/>
      </w:r>
      <w:r>
        <w:tab/>
      </w:r>
      <w:r>
        <w:tab/>
      </w:r>
      <w:r>
        <w:tab/>
      </w:r>
      <w:r>
        <w:br w:type="page"/>
      </w:r>
    </w:p>
    <w:p>
      <w:pPr>
        <w:rPr>
          <w:b/>
          <w:sz w:val="20"/>
          <w:szCs w:val="22"/>
          <w:highlight w:val="yellow"/>
        </w:rPr>
      </w:pPr>
      <w:r>
        <w:rPr>
          <w:b/>
          <w:sz w:val="20"/>
          <w:szCs w:val="22"/>
          <w:highlight w:val="yellow"/>
        </w:rPr>
        <w:br w:type="page"/>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4384;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Arial Black">
    <w:panose1 w:val="020B0A04020102020204"/>
    <w:charset w:val="00"/>
    <w:family w:val="swiss"/>
    <w:pitch w:val="default"/>
    <w:sig w:usb0="00000287" w:usb1="00000000" w:usb2="00000000" w:usb3="00000000" w:csb0="2000009F" w:csb1="DFD7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等线">
    <w:altName w:val="黑体"/>
    <w:panose1 w:val="00000000000000000000"/>
    <w:charset w:val="86"/>
    <w:family w:val="auto"/>
    <w:pitch w:val="default"/>
    <w:sig w:usb0="00000000" w:usb1="00000000" w:usb2="00000010" w:usb3="00000000" w:csb0="00040000" w:csb1="00000000"/>
  </w:font>
  <w:font w:name="??">
    <w:altName w:val="Times New Roman"/>
    <w:panose1 w:val="00000000000000000000"/>
    <w:charset w:val="00"/>
    <w:family w:val="auto"/>
    <w:pitch w:val="default"/>
    <w:sig w:usb0="00000000" w:usb1="00000000" w:usb2="00000000" w:usb3="00000000" w:csb0="0000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4A6769A"/>
    <w:rsid w:val="066E49CD"/>
    <w:rsid w:val="09B33ED9"/>
    <w:rsid w:val="0EA325C9"/>
    <w:rsid w:val="0EE17C1A"/>
    <w:rsid w:val="151501EB"/>
    <w:rsid w:val="15681628"/>
    <w:rsid w:val="167310E5"/>
    <w:rsid w:val="181800A9"/>
    <w:rsid w:val="191B42A1"/>
    <w:rsid w:val="1BE24904"/>
    <w:rsid w:val="22E46C89"/>
    <w:rsid w:val="27B61B6E"/>
    <w:rsid w:val="2AEB2687"/>
    <w:rsid w:val="2B3861FD"/>
    <w:rsid w:val="2C4709BC"/>
    <w:rsid w:val="30984D0E"/>
    <w:rsid w:val="33804D18"/>
    <w:rsid w:val="34C45458"/>
    <w:rsid w:val="35C83C42"/>
    <w:rsid w:val="37240767"/>
    <w:rsid w:val="37445DC3"/>
    <w:rsid w:val="3E9231D3"/>
    <w:rsid w:val="43750AAC"/>
    <w:rsid w:val="43D02866"/>
    <w:rsid w:val="44525522"/>
    <w:rsid w:val="455E01CE"/>
    <w:rsid w:val="49FD42A7"/>
    <w:rsid w:val="5A725CF0"/>
    <w:rsid w:val="60154311"/>
    <w:rsid w:val="60796AF6"/>
    <w:rsid w:val="65235681"/>
    <w:rsid w:val="6632071A"/>
    <w:rsid w:val="695B26FD"/>
    <w:rsid w:val="6AF77BA8"/>
    <w:rsid w:val="73D824BD"/>
    <w:rsid w:val="744B6D9E"/>
    <w:rsid w:val="764B3663"/>
    <w:rsid w:val="7BFB3163"/>
    <w:rsid w:val="7E1B5633"/>
    <w:rsid w:val="7F402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2.bmp"/><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4580814717477"/>
          <c:y val="0.00754716981132075"/>
          <c:w val="0.900315374507227"/>
          <c:h val="0.822993710691824"/>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2019年收入</c:v>
                </c:pt>
                <c:pt idx="1">
                  <c:v>2019年支出</c:v>
                </c:pt>
                <c:pt idx="2">
                  <c:v>2020年收入</c:v>
                </c:pt>
                <c:pt idx="3">
                  <c:v>2020年支出</c:v>
                </c:pt>
              </c:strCache>
            </c:strRef>
          </c:cat>
          <c:val>
            <c:numRef>
              <c:f>Sheet1!$B$2:$B$5</c:f>
              <c:numCache>
                <c:formatCode>General</c:formatCode>
                <c:ptCount val="4"/>
                <c:pt idx="0">
                  <c:v>7088.73</c:v>
                </c:pt>
                <c:pt idx="1">
                  <c:v>6453.87</c:v>
                </c:pt>
                <c:pt idx="2">
                  <c:v>5554.45</c:v>
                </c:pt>
                <c:pt idx="3">
                  <c:v>3949.91</c:v>
                </c:pt>
              </c:numCache>
            </c:numRef>
          </c:val>
        </c:ser>
        <c:dLbls>
          <c:showLegendKey val="0"/>
          <c:showVal val="0"/>
          <c:showCatName val="0"/>
          <c:showSerName val="0"/>
          <c:showPercent val="0"/>
          <c:showBubbleSize val="0"/>
        </c:dLbls>
        <c:gapWidth val="219"/>
        <c:overlap val="-27"/>
        <c:axId val="123739307"/>
        <c:axId val="119863200"/>
      </c:barChart>
      <c:catAx>
        <c:axId val="12373930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9863200"/>
        <c:crosses val="autoZero"/>
        <c:auto val="1"/>
        <c:lblAlgn val="ctr"/>
        <c:lblOffset val="100"/>
        <c:noMultiLvlLbl val="0"/>
      </c:catAx>
      <c:valAx>
        <c:axId val="119863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37393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0.2065</c:v>
                </c:pt>
                <c:pt idx="1">
                  <c:v>0.7935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 财政拨款收支与</a:t>
            </a:r>
            <a:r>
              <a:rPr lang="en-US" altLang="zh-CN"/>
              <a:t>2019</a:t>
            </a:r>
            <a:r>
              <a:rPr altLang="en-US"/>
              <a:t>年度决算对比</a:t>
            </a:r>
            <a:endParaRPr altLang="en-US"/>
          </a:p>
        </c:rich>
      </c:tx>
      <c:layout>
        <c:manualLayout>
          <c:xMode val="edge"/>
          <c:yMode val="edge"/>
          <c:x val="0.206178790534619"/>
          <c:y val="0.00847457627118644"/>
        </c:manualLayout>
      </c:layout>
      <c:overlay val="0"/>
      <c:spPr>
        <a:noFill/>
        <a:ln>
          <a:noFill/>
        </a:ln>
        <a:effectLst/>
      </c:spPr>
    </c:title>
    <c:autoTitleDeleted val="0"/>
    <c:plotArea>
      <c:layout>
        <c:manualLayout>
          <c:layoutTarget val="inner"/>
          <c:xMode val="edge"/>
          <c:yMode val="edge"/>
          <c:x val="0.0706397896581946"/>
          <c:y val="0.153672316384181"/>
          <c:w val="0.905112474437628"/>
          <c:h val="0.729491525423729"/>
        </c:manualLayout>
      </c:layout>
      <c:barChart>
        <c:barDir val="col"/>
        <c:grouping val="clustered"/>
        <c:varyColors val="0"/>
        <c:ser>
          <c:idx val="0"/>
          <c:order val="0"/>
          <c:tx>
            <c:strRef>
              <c:f>Sheet1!$B$1</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2019年支出</c:v>
                </c:pt>
                <c:pt idx="1">
                  <c:v>2020年支出</c:v>
                </c:pt>
                <c:pt idx="2">
                  <c:v>2019年收入</c:v>
                </c:pt>
                <c:pt idx="3">
                  <c:v>2020年收入</c:v>
                </c:pt>
              </c:strCache>
            </c:strRef>
          </c:cat>
          <c:val>
            <c:numRef>
              <c:f>Sheet1!$B$2:$B$5</c:f>
              <c:numCache>
                <c:formatCode>General</c:formatCode>
                <c:ptCount val="4"/>
                <c:pt idx="0">
                  <c:v>6453.87</c:v>
                </c:pt>
                <c:pt idx="1">
                  <c:v>3949.91</c:v>
                </c:pt>
                <c:pt idx="2">
                  <c:v>6259.94</c:v>
                </c:pt>
                <c:pt idx="3">
                  <c:v>5151.56</c:v>
                </c:pt>
              </c:numCache>
            </c:numRef>
          </c:val>
        </c:ser>
        <c:dLbls>
          <c:showLegendKey val="0"/>
          <c:showVal val="1"/>
          <c:showCatName val="0"/>
          <c:showSerName val="0"/>
          <c:showPercent val="0"/>
          <c:showBubbleSize val="0"/>
        </c:dLbls>
        <c:gapWidth val="219"/>
        <c:overlap val="-27"/>
        <c:axId val="837814965"/>
        <c:axId val="887169764"/>
      </c:barChart>
      <c:catAx>
        <c:axId val="83781496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7169764"/>
        <c:crosses val="autoZero"/>
        <c:auto val="1"/>
        <c:lblAlgn val="ctr"/>
        <c:lblOffset val="100"/>
        <c:noMultiLvlLbl val="0"/>
      </c:catAx>
      <c:valAx>
        <c:axId val="8871697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781496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 财政拨款收支与年初预算对比</a:t>
            </a:r>
          </a:p>
        </c:rich>
      </c:tx>
      <c:layout>
        <c:manualLayout>
          <c:xMode val="edge"/>
          <c:yMode val="edge"/>
          <c:x val="0.201453790238837"/>
          <c:y val="0.0392156862745098"/>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2020年预算支出</c:v>
                </c:pt>
                <c:pt idx="1">
                  <c:v>2020年决算支出</c:v>
                </c:pt>
                <c:pt idx="2">
                  <c:v>2020年决算收入</c:v>
                </c:pt>
                <c:pt idx="3">
                  <c:v>2020年预算收入</c:v>
                </c:pt>
              </c:strCache>
            </c:strRef>
          </c:cat>
          <c:val>
            <c:numRef>
              <c:f>Sheet1!$B$2:$B$5</c:f>
              <c:numCache>
                <c:formatCode>General</c:formatCode>
                <c:ptCount val="4"/>
                <c:pt idx="0">
                  <c:v>884.27</c:v>
                </c:pt>
                <c:pt idx="1">
                  <c:v>3949.91</c:v>
                </c:pt>
                <c:pt idx="2">
                  <c:v>5151.56</c:v>
                </c:pt>
                <c:pt idx="3">
                  <c:v>884.27</c:v>
                </c:pt>
              </c:numCache>
            </c:numRef>
          </c:val>
        </c:ser>
        <c:dLbls>
          <c:showLegendKey val="0"/>
          <c:showVal val="1"/>
          <c:showCatName val="0"/>
          <c:showSerName val="0"/>
          <c:showPercent val="0"/>
          <c:showBubbleSize val="0"/>
        </c:dLbls>
        <c:gapWidth val="219"/>
        <c:overlap val="-27"/>
        <c:axId val="837814965"/>
        <c:axId val="887169764"/>
      </c:barChart>
      <c:catAx>
        <c:axId val="83781496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7169764"/>
        <c:crosses val="autoZero"/>
        <c:auto val="1"/>
        <c:lblAlgn val="ctr"/>
        <c:lblOffset val="100"/>
        <c:noMultiLvlLbl val="0"/>
      </c:catAx>
      <c:valAx>
        <c:axId val="8871697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781496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一般公共服务</c:v>
                </c:pt>
                <c:pt idx="1">
                  <c:v>社会保障和就业</c:v>
                </c:pt>
                <c:pt idx="2">
                  <c:v>住房保障</c:v>
                </c:pt>
                <c:pt idx="3">
                  <c:v>卫生健康</c:v>
                </c:pt>
                <c:pt idx="4">
                  <c:v>科学技术</c:v>
                </c:pt>
                <c:pt idx="5">
                  <c:v>节能环保</c:v>
                </c:pt>
                <c:pt idx="6">
                  <c:v>资源勘探工业信息</c:v>
                </c:pt>
                <c:pt idx="7">
                  <c:v>商业服务业</c:v>
                </c:pt>
                <c:pt idx="8">
                  <c:v>粮油物资储备</c:v>
                </c:pt>
              </c:strCache>
            </c:strRef>
          </c:cat>
          <c:val>
            <c:numRef>
              <c:f>Sheet1!$B$2:$B$10</c:f>
              <c:numCache>
                <c:formatCode>0.00%</c:formatCode>
                <c:ptCount val="9"/>
                <c:pt idx="0">
                  <c:v>0.6151</c:v>
                </c:pt>
                <c:pt idx="1">
                  <c:v>0.0166</c:v>
                </c:pt>
                <c:pt idx="2">
                  <c:v>0.0121</c:v>
                </c:pt>
                <c:pt idx="3">
                  <c:v>0.0063</c:v>
                </c:pt>
                <c:pt idx="4">
                  <c:v>0.0095</c:v>
                </c:pt>
                <c:pt idx="5">
                  <c:v>0.1726</c:v>
                </c:pt>
                <c:pt idx="6">
                  <c:v>0.095</c:v>
                </c:pt>
                <c:pt idx="7">
                  <c:v>0.0201</c:v>
                </c:pt>
                <c:pt idx="8">
                  <c:v>0.0527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4</TotalTime>
  <ScaleCrop>false</ScaleCrop>
  <LinksUpToDate>false</LinksUpToDate>
  <CharactersWithSpaces>11806</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2021-11-16T03:47:22Z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E224538497AC48F4B152A367BD05EE42</vt:lpwstr>
  </property>
</Properties>
</file>