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mc:AlternateContent>
          <mc:Choice Requires="wps">
            <w:drawing>
              <wp:anchor distT="0" distB="0" distL="114300" distR="114300" simplePos="0" relativeHeight="251667456" behindDoc="0" locked="0" layoutInCell="1" allowOverlap="1">
                <wp:simplePos x="0" y="0"/>
                <wp:positionH relativeFrom="column">
                  <wp:posOffset>1628775</wp:posOffset>
                </wp:positionH>
                <wp:positionV relativeFrom="paragraph">
                  <wp:posOffset>7872730</wp:posOffset>
                </wp:positionV>
                <wp:extent cx="2131695" cy="517525"/>
                <wp:effectExtent l="0" t="0" r="1905" b="635"/>
                <wp:wrapNone/>
                <wp:docPr id="5" name="文本框 5"/>
                <wp:cNvGraphicFramePr/>
                <a:graphic xmlns:a="http://schemas.openxmlformats.org/drawingml/2006/main">
                  <a:graphicData uri="http://schemas.microsoft.com/office/word/2010/wordprocessingShape">
                    <wps:wsp>
                      <wps:cNvSpPr txBox="1"/>
                      <wps:spPr>
                        <a:xfrm>
                          <a:off x="2600960" y="9102725"/>
                          <a:ext cx="2131695" cy="5175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8.25pt;margin-top:619.9pt;height:40.75pt;width:167.85pt;z-index:251667456;mso-width-relative:page;mso-height-relative:page;" filled="f" stroked="f" coordsize="21600,21600" o:gfxdata="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5cw25dwAAAANAQAADwAAAAAA&#10;AAABACAAAAAiAAAAZHJzL2Rvd25yZXYueG1sUEsBAhQAFAAAAAgAh07iQC5Jnb5IAgAAcgQAAA4A&#10;AAAAAAAAAQAgAAAAKwEAAGRycy9lMm9Eb2MueG1sUEsFBgAAAAAGAAYAWQEAAOUFAAAAAA==&#10;">
                <v:fill on="f" focussize="0,0"/>
                <v:stroke on="f" weight="0.5pt"/>
                <v:imagedata o:title=""/>
                <o:lock v:ext="edit" aspectratio="f"/>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2021年9月</w:t>
                      </w:r>
                    </w:p>
                  </w:txbxContent>
                </v:textbox>
              </v:shape>
            </w:pict>
          </mc:Fallback>
        </mc:AlternateContent>
      </w:r>
      <w:r>
        <w:drawing>
          <wp:anchor distT="0" distB="0" distL="114300" distR="114300" simplePos="0" relativeHeight="251668480"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0"/>
                    <a:stretch>
                      <a:fillRect/>
                    </a:stretch>
                  </pic:blipFill>
                  <pic:spPr>
                    <a:xfrm>
                      <a:off x="0" y="0"/>
                      <a:ext cx="7592060" cy="10739755"/>
                    </a:xfrm>
                    <a:prstGeom prst="rect">
                      <a:avLst/>
                    </a:prstGeom>
                  </pic:spPr>
                </pic:pic>
              </a:graphicData>
            </a:graphic>
          </wp:anchor>
        </w:drawing>
      </w:r>
      <w:r>
        <w:br w:type="page"/>
      </w:r>
    </w:p>
    <w:p>
      <w:pPr>
        <w:rPr>
          <w:rFonts w:ascii="黑体" w:hAnsi="黑体" w:eastAsia="黑体" w:cs="黑体"/>
          <w:sz w:val="72"/>
          <w:szCs w:val="96"/>
        </w:rPr>
      </w:pPr>
    </w:p>
    <w:p>
      <w:pPr>
        <w:jc w:val="center"/>
        <w:rPr>
          <w:rFonts w:hint="eastAsia" w:ascii="黑体" w:hAnsi="黑体" w:eastAsia="黑体" w:cs="黑体"/>
          <w:sz w:val="72"/>
          <w:szCs w:val="96"/>
          <w:highlight w:val="yellow"/>
          <w:lang w:eastAsia="zh-CN"/>
        </w:rPr>
      </w:pPr>
      <w:r>
        <w:rPr>
          <w:rFonts w:hint="eastAsia" w:ascii="黑体" w:hAnsi="黑体" w:eastAsia="黑体" w:cs="黑体"/>
          <w:sz w:val="72"/>
          <w:szCs w:val="96"/>
          <w:lang w:eastAsia="zh-CN"/>
        </w:rPr>
        <w:t>高邑县人力资源和社会保障局（部门）</w:t>
      </w: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531" w:bottom="1984"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二〇二一年九月</w:t>
      </w: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0288"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0288;v-text-anchor:middle;mso-width-relative:page;mso-height-relative:page;" fillcolor="#7F7F7F [1612]" filled="t" stroked="t" coordsize="21600,21600" o:gfxdata="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Df95gjcAAAADQEAAA8AAAAAAAAAAQAgAAAAIgAAAGRycy9kb3ducmV2Lnht&#10;bFBLAQIUABQAAAAIAIdO4kCP8Fn4oAIAAHEFAAAOAAAAAAAAAAEAIAAAACsBAABkcnMvZTJvRG9j&#10;LnhtbFBLBQYAAAAABgAGAFkBAAA9BgAAAAA=&#10;">
                <v:fill type="pattern" on="t" color2="#FFFFFF [3212]" o:title="5%" focussize="0,0" r:id="rId11"/>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val="0"/>
        <w:keepLines w:val="0"/>
        <w:pageBreakBefore w:val="0"/>
        <w:widowControl w:val="0"/>
        <w:kinsoku/>
        <w:wordWrap/>
        <w:overflowPunct/>
        <w:topLinePunct w:val="0"/>
        <w:autoSpaceDE/>
        <w:autoSpaceDN/>
        <w:bidi w:val="0"/>
        <w:adjustRightInd/>
        <w:snapToGrid/>
        <w:spacing w:line="240" w:lineRule="auto"/>
        <w:ind w:firstLine="641"/>
        <w:textAlignment w:val="auto"/>
        <w:outlineLvl w:val="9"/>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根据《高邑县人力资源和社会保障局职能配置、内设机构和人员编制规定》，高邑县人力资源和社会保障局的主要职责是：</w:t>
      </w:r>
    </w:p>
    <w:p>
      <w:pPr>
        <w:keepNext w:val="0"/>
        <w:keepLines w:val="0"/>
        <w:pageBreakBefore w:val="0"/>
        <w:widowControl w:val="0"/>
        <w:kinsoku/>
        <w:wordWrap/>
        <w:overflowPunct/>
        <w:topLinePunct w:val="0"/>
        <w:autoSpaceDE/>
        <w:autoSpaceDN/>
        <w:bidi w:val="0"/>
        <w:adjustRightInd/>
        <w:snapToGrid/>
        <w:spacing w:line="240" w:lineRule="auto"/>
        <w:ind w:firstLine="641"/>
        <w:textAlignment w:val="auto"/>
        <w:outlineLvl w:val="9"/>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贯彻落实中央和省、市、县委关于人力资源和社会保障工作的方针政策和决策部署，坚持和加强党对人力资源和社会保障工作的集中统一领导。</w:t>
      </w:r>
    </w:p>
    <w:p>
      <w:pPr>
        <w:keepNext w:val="0"/>
        <w:keepLines w:val="0"/>
        <w:pageBreakBefore w:val="0"/>
        <w:widowControl w:val="0"/>
        <w:kinsoku/>
        <w:wordWrap/>
        <w:overflowPunct/>
        <w:topLinePunct w:val="0"/>
        <w:autoSpaceDE/>
        <w:autoSpaceDN/>
        <w:bidi w:val="0"/>
        <w:adjustRightInd/>
        <w:snapToGrid/>
        <w:spacing w:line="240" w:lineRule="auto"/>
        <w:ind w:firstLine="641"/>
        <w:textAlignment w:val="auto"/>
        <w:outlineLvl w:val="9"/>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（一）拟订全县人力资源和社会保障事业发展规划,贯彻落实人力资源和社会保障地方性法规、政府规章。</w:t>
      </w:r>
    </w:p>
    <w:p>
      <w:pPr>
        <w:keepNext w:val="0"/>
        <w:keepLines w:val="0"/>
        <w:pageBreakBefore w:val="0"/>
        <w:widowControl w:val="0"/>
        <w:kinsoku/>
        <w:wordWrap/>
        <w:overflowPunct/>
        <w:topLinePunct w:val="0"/>
        <w:autoSpaceDE/>
        <w:autoSpaceDN/>
        <w:bidi w:val="0"/>
        <w:adjustRightInd/>
        <w:snapToGrid/>
        <w:spacing w:line="240" w:lineRule="auto"/>
        <w:ind w:firstLine="641"/>
        <w:textAlignment w:val="auto"/>
        <w:outlineLvl w:val="9"/>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（二）拟订人力资源市场发展规划和人力资源服务业发展、人力资源流动政策，促进人力资源合理流动、有效配置。按照管理权限拟订人员（不含公务员）调配政策和特殊人员安置政策。</w:t>
      </w:r>
    </w:p>
    <w:p>
      <w:pPr>
        <w:keepNext w:val="0"/>
        <w:keepLines w:val="0"/>
        <w:pageBreakBefore w:val="0"/>
        <w:widowControl w:val="0"/>
        <w:kinsoku/>
        <w:wordWrap/>
        <w:overflowPunct/>
        <w:topLinePunct w:val="0"/>
        <w:autoSpaceDE/>
        <w:autoSpaceDN/>
        <w:bidi w:val="0"/>
        <w:adjustRightInd/>
        <w:snapToGrid/>
        <w:spacing w:line="240" w:lineRule="auto"/>
        <w:ind w:firstLine="641"/>
        <w:textAlignment w:val="auto"/>
        <w:outlineLvl w:val="9"/>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三）负责促进就业创业工作，拟订统筹城乡的就业发展规划和促进就业创业扶持政策，完善公共就业服务体系，拟订全县技工学校和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keepNext w:val="0"/>
        <w:keepLines w:val="0"/>
        <w:pageBreakBefore w:val="0"/>
        <w:widowControl w:val="0"/>
        <w:kinsoku/>
        <w:wordWrap/>
        <w:overflowPunct/>
        <w:topLinePunct w:val="0"/>
        <w:autoSpaceDE/>
        <w:autoSpaceDN/>
        <w:bidi w:val="0"/>
        <w:adjustRightInd/>
        <w:snapToGrid/>
        <w:spacing w:line="240" w:lineRule="auto"/>
        <w:ind w:firstLine="641"/>
        <w:textAlignment w:val="auto"/>
        <w:outlineLvl w:val="9"/>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审核汇总相关社会保险基金预决算草案。负责企业年金、职业年金管理工作，会同有关部门实施全民参保计划并参与全省统一的社会保险公共服务平台建设工作。</w:t>
      </w:r>
    </w:p>
    <w:p>
      <w:pPr>
        <w:keepNext w:val="0"/>
        <w:keepLines w:val="0"/>
        <w:pageBreakBefore w:val="0"/>
        <w:widowControl w:val="0"/>
        <w:kinsoku/>
        <w:wordWrap/>
        <w:overflowPunct/>
        <w:topLinePunct w:val="0"/>
        <w:autoSpaceDE/>
        <w:autoSpaceDN/>
        <w:bidi w:val="0"/>
        <w:adjustRightInd/>
        <w:snapToGrid/>
        <w:spacing w:line="240" w:lineRule="auto"/>
        <w:ind w:firstLine="641"/>
        <w:textAlignment w:val="auto"/>
        <w:outlineLvl w:val="9"/>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（五）负责就业、失业和相关社会保险基金预测预警和信息引导，拟订应对预案，实施预防、调节和控制，保持就业形势稳定和社会保险基金总体收支平衡。</w:t>
      </w:r>
    </w:p>
    <w:p>
      <w:pPr>
        <w:keepNext w:val="0"/>
        <w:keepLines w:val="0"/>
        <w:pageBreakBefore w:val="0"/>
        <w:widowControl w:val="0"/>
        <w:kinsoku/>
        <w:wordWrap/>
        <w:overflowPunct/>
        <w:topLinePunct w:val="0"/>
        <w:autoSpaceDE/>
        <w:autoSpaceDN/>
        <w:bidi w:val="0"/>
        <w:adjustRightInd/>
        <w:snapToGrid/>
        <w:spacing w:line="240" w:lineRule="auto"/>
        <w:ind w:firstLine="641"/>
        <w:textAlignment w:val="auto"/>
        <w:outlineLvl w:val="9"/>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keepNext w:val="0"/>
        <w:keepLines w:val="0"/>
        <w:pageBreakBefore w:val="0"/>
        <w:widowControl w:val="0"/>
        <w:kinsoku/>
        <w:wordWrap/>
        <w:overflowPunct/>
        <w:topLinePunct w:val="0"/>
        <w:autoSpaceDE/>
        <w:autoSpaceDN/>
        <w:bidi w:val="0"/>
        <w:adjustRightInd/>
        <w:snapToGrid/>
        <w:spacing w:line="240" w:lineRule="auto"/>
        <w:ind w:firstLine="641"/>
        <w:textAlignment w:val="auto"/>
        <w:outlineLvl w:val="9"/>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七）拟订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职称制度改革，综合管理全县职称工作。负责专业技术人员管理、继续教育和博士后管理工作，负责高层次专业技术人才选拔和培养，拟订吸引留学人员来高邑（回国）工作或定居政策，组织拟订技能人才培训、评价、使用和激励制度。贯彻执行职业资格制度，负责职业技能多元化评价工作。</w:t>
      </w:r>
    </w:p>
    <w:p>
      <w:pPr>
        <w:keepNext w:val="0"/>
        <w:keepLines w:val="0"/>
        <w:pageBreakBefore w:val="0"/>
        <w:widowControl w:val="0"/>
        <w:kinsoku/>
        <w:wordWrap/>
        <w:overflowPunct/>
        <w:topLinePunct w:val="0"/>
        <w:autoSpaceDE/>
        <w:autoSpaceDN/>
        <w:bidi w:val="0"/>
        <w:adjustRightInd/>
        <w:snapToGrid/>
        <w:spacing w:line="240" w:lineRule="auto"/>
        <w:ind w:firstLine="641"/>
        <w:textAlignment w:val="auto"/>
        <w:outlineLvl w:val="9"/>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八）会同有关部门指导事业单位人事制度改革，按照管理权限负责规范事业单位岗位设置、公开招聘、聘用合同、考核奖惩、培训等人事综合管理工作，负责事业单位人员和机关工勤人员管理工作；按照管理权限负责县直部分事业单位工资基金手册管理工作。</w:t>
      </w:r>
    </w:p>
    <w:p>
      <w:pPr>
        <w:keepNext w:val="0"/>
        <w:keepLines w:val="0"/>
        <w:pageBreakBefore w:val="0"/>
        <w:widowControl w:val="0"/>
        <w:kinsoku/>
        <w:wordWrap/>
        <w:overflowPunct/>
        <w:topLinePunct w:val="0"/>
        <w:autoSpaceDE/>
        <w:autoSpaceDN/>
        <w:bidi w:val="0"/>
        <w:adjustRightInd/>
        <w:snapToGrid/>
        <w:spacing w:line="240" w:lineRule="auto"/>
        <w:ind w:firstLine="641"/>
        <w:textAlignment w:val="auto"/>
        <w:outlineLvl w:val="9"/>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九）负责全县评比达标表彰和创建示范工作的综合管理审核备案、监督检查工作。会同有关部门拟订全县表彰奖励办法（不含中国共产党党内表彰、公务员奖励），组织指导县直各部门的评比达标表彰活动，负责全县功勋荣誉表彰奖励获得者管理工作，落实享受待遇的相关政策。</w:t>
      </w:r>
    </w:p>
    <w:p>
      <w:pPr>
        <w:keepNext w:val="0"/>
        <w:keepLines w:val="0"/>
        <w:pageBreakBefore w:val="0"/>
        <w:widowControl w:val="0"/>
        <w:kinsoku/>
        <w:wordWrap/>
        <w:overflowPunct/>
        <w:topLinePunct w:val="0"/>
        <w:autoSpaceDE/>
        <w:autoSpaceDN/>
        <w:bidi w:val="0"/>
        <w:adjustRightInd/>
        <w:snapToGrid/>
        <w:spacing w:line="240" w:lineRule="auto"/>
        <w:ind w:firstLine="641"/>
        <w:textAlignment w:val="auto"/>
        <w:outlineLvl w:val="9"/>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十）会同有关部门做好全县事业单位人员工资收入分配管理工作，负责国有企业管理人员薪酬水平的复核、备案工作；负责企事业单位人员工资决定、正常增长和支付保障工作；负责全县企事业单位人员福利和离退休管理工作，并对政策执行情况进行监督检查。</w:t>
      </w:r>
    </w:p>
    <w:p>
      <w:pPr>
        <w:keepNext w:val="0"/>
        <w:keepLines w:val="0"/>
        <w:pageBreakBefore w:val="0"/>
        <w:widowControl w:val="0"/>
        <w:kinsoku/>
        <w:wordWrap/>
        <w:overflowPunct/>
        <w:topLinePunct w:val="0"/>
        <w:autoSpaceDE/>
        <w:autoSpaceDN/>
        <w:bidi w:val="0"/>
        <w:adjustRightInd/>
        <w:snapToGrid/>
        <w:spacing w:line="240" w:lineRule="auto"/>
        <w:ind w:firstLine="641"/>
        <w:textAlignment w:val="auto"/>
        <w:outlineLvl w:val="9"/>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（十一）负责农民工工作，对政策落实情况进行监督检查，协调解决重点难点问题，维护农民工合法权益。</w:t>
      </w:r>
    </w:p>
    <w:p>
      <w:pPr>
        <w:keepNext w:val="0"/>
        <w:keepLines w:val="0"/>
        <w:pageBreakBefore w:val="0"/>
        <w:widowControl w:val="0"/>
        <w:kinsoku/>
        <w:wordWrap/>
        <w:overflowPunct/>
        <w:topLinePunct w:val="0"/>
        <w:autoSpaceDE/>
        <w:autoSpaceDN/>
        <w:bidi w:val="0"/>
        <w:adjustRightInd/>
        <w:snapToGrid/>
        <w:spacing w:line="240" w:lineRule="auto"/>
        <w:ind w:firstLine="641"/>
        <w:textAlignment w:val="auto"/>
        <w:outlineLvl w:val="9"/>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（十二）负责人力资源和社会保障对外交流与合作工作。</w:t>
      </w:r>
    </w:p>
    <w:p>
      <w:pPr>
        <w:keepNext w:val="0"/>
        <w:keepLines w:val="0"/>
        <w:pageBreakBefore w:val="0"/>
        <w:widowControl w:val="0"/>
        <w:kinsoku/>
        <w:wordWrap/>
        <w:overflowPunct/>
        <w:topLinePunct w:val="0"/>
        <w:autoSpaceDE/>
        <w:autoSpaceDN/>
        <w:bidi w:val="0"/>
        <w:adjustRightInd/>
        <w:snapToGrid/>
        <w:spacing w:line="240" w:lineRule="auto"/>
        <w:ind w:firstLine="641"/>
        <w:textAlignment w:val="auto"/>
        <w:outlineLvl w:val="9"/>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（十三）完成县委、县政府交办的其他任务。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年度本部门决算汇编范围的独立核算单位（以下简称“单位”）共</w:t>
      </w:r>
      <w:r>
        <w:rPr>
          <w:rFonts w:hint="eastAsia" w:ascii="仿宋_GB2312" w:hAnsi="Calibri" w:eastAsia="仿宋_GB2312" w:cs="Arial Black"/>
          <w:kern w:val="0"/>
          <w:sz w:val="32"/>
          <w:szCs w:val="32"/>
          <w:lang w:val="en-US" w:eastAsia="zh-CN"/>
        </w:rPr>
        <w:t>5</w:t>
      </w:r>
      <w:r>
        <w:rPr>
          <w:rFonts w:hint="eastAsia" w:ascii="仿宋_GB2312" w:hAnsi="Calibri" w:eastAsia="仿宋_GB2312" w:cs="Arial Black"/>
          <w:kern w:val="0"/>
          <w:sz w:val="32"/>
          <w:szCs w:val="32"/>
        </w:rPr>
        <w:t>个，具体情况如下：</w:t>
      </w:r>
    </w:p>
    <w:tbl>
      <w:tblPr>
        <w:tblStyle w:val="7"/>
        <w:tblpPr w:leftFromText="180" w:rightFromText="180" w:vertAnchor="text" w:horzAnchor="page" w:tblpXSpec="center" w:tblpY="10"/>
        <w:tblOverlap w:val="never"/>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097"/>
        <w:gridCol w:w="2475"/>
        <w:gridCol w:w="28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968"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097"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475"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880"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vAlign w:val="center"/>
          </w:tcPr>
          <w:p>
            <w:pPr>
              <w:spacing w:line="560" w:lineRule="exact"/>
              <w:jc w:val="both"/>
              <w:rPr>
                <w:rFonts w:hint="eastAsia" w:ascii="仿宋_GB2312" w:hAnsi="Calibri" w:eastAsia="仿宋_GB2312" w:cs="Arial Black"/>
                <w:kern w:val="0"/>
                <w:sz w:val="28"/>
                <w:szCs w:val="28"/>
              </w:rPr>
            </w:pPr>
            <w:r>
              <w:rPr>
                <w:rFonts w:hint="eastAsia" w:ascii="仿宋_GB2312" w:hAnsi="Calibri" w:eastAsia="仿宋_GB2312" w:cs="Arial Black"/>
                <w:kern w:val="0"/>
                <w:sz w:val="28"/>
                <w:szCs w:val="28"/>
              </w:rPr>
              <w:t>1</w:t>
            </w:r>
          </w:p>
        </w:tc>
        <w:tc>
          <w:tcPr>
            <w:tcW w:w="3097" w:type="dxa"/>
            <w:vAlign w:val="center"/>
          </w:tcPr>
          <w:p>
            <w:pPr>
              <w:spacing w:line="560" w:lineRule="exact"/>
              <w:jc w:val="both"/>
              <w:rPr>
                <w:rFonts w:hint="eastAsia" w:ascii="仿宋_GB2312" w:hAnsi="Calibri" w:eastAsia="仿宋_GB2312" w:cs="Arial Black"/>
                <w:kern w:val="0"/>
                <w:sz w:val="28"/>
                <w:szCs w:val="28"/>
              </w:rPr>
            </w:pPr>
            <w:r>
              <w:rPr>
                <w:rFonts w:hint="eastAsia" w:ascii="仿宋_GB2312" w:hAnsi="Calibri" w:eastAsia="仿宋_GB2312" w:cs="Arial Black"/>
                <w:kern w:val="0"/>
                <w:sz w:val="28"/>
                <w:szCs w:val="28"/>
              </w:rPr>
              <w:t>高邑县人力资源和社会保障局</w:t>
            </w:r>
            <w:r>
              <w:rPr>
                <w:rFonts w:hint="eastAsia" w:ascii="仿宋_GB2312" w:hAnsi="Calibri" w:eastAsia="仿宋_GB2312" w:cs="Arial Black"/>
                <w:kern w:val="0"/>
                <w:sz w:val="28"/>
                <w:szCs w:val="28"/>
                <w:lang w:eastAsia="zh-CN"/>
              </w:rPr>
              <w:t>（本级）</w:t>
            </w:r>
          </w:p>
        </w:tc>
        <w:tc>
          <w:tcPr>
            <w:tcW w:w="2475" w:type="dxa"/>
            <w:vAlign w:val="center"/>
          </w:tcPr>
          <w:p>
            <w:pPr>
              <w:spacing w:line="560" w:lineRule="exact"/>
              <w:jc w:val="both"/>
              <w:rPr>
                <w:rFonts w:hint="eastAsia" w:ascii="仿宋_GB2312" w:hAnsi="Calibri" w:eastAsia="仿宋_GB2312" w:cs="Arial Black"/>
                <w:kern w:val="0"/>
                <w:sz w:val="28"/>
                <w:szCs w:val="28"/>
              </w:rPr>
            </w:pPr>
            <w:r>
              <w:rPr>
                <w:rFonts w:hint="eastAsia" w:ascii="仿宋_GB2312" w:hAnsi="Calibri" w:eastAsia="仿宋_GB2312" w:cs="Arial Black"/>
                <w:kern w:val="0"/>
                <w:sz w:val="28"/>
                <w:szCs w:val="28"/>
              </w:rPr>
              <w:t>行政单位</w:t>
            </w:r>
          </w:p>
        </w:tc>
        <w:tc>
          <w:tcPr>
            <w:tcW w:w="2880" w:type="dxa"/>
            <w:vAlign w:val="center"/>
          </w:tcPr>
          <w:p>
            <w:pPr>
              <w:spacing w:line="560" w:lineRule="exact"/>
              <w:jc w:val="both"/>
              <w:rPr>
                <w:rFonts w:hint="eastAsia" w:ascii="仿宋_GB2312" w:hAnsi="Calibri" w:eastAsia="仿宋_GB2312" w:cs="Arial Black"/>
                <w:kern w:val="0"/>
                <w:sz w:val="28"/>
                <w:szCs w:val="28"/>
              </w:rPr>
            </w:pPr>
            <w:r>
              <w:rPr>
                <w:rFonts w:hint="eastAsia" w:ascii="仿宋_GB2312" w:hAnsi="Calibri" w:eastAsia="仿宋_GB2312" w:cs="Arial Black"/>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vAlign w:val="center"/>
          </w:tcPr>
          <w:p>
            <w:pPr>
              <w:spacing w:line="560" w:lineRule="exact"/>
              <w:jc w:val="both"/>
              <w:rPr>
                <w:rFonts w:hint="eastAsia" w:ascii="仿宋_GB2312" w:hAnsi="Calibri" w:eastAsia="仿宋_GB2312" w:cs="Arial Black"/>
                <w:kern w:val="0"/>
                <w:sz w:val="28"/>
                <w:szCs w:val="28"/>
              </w:rPr>
            </w:pPr>
            <w:r>
              <w:rPr>
                <w:rFonts w:hint="eastAsia" w:ascii="仿宋_GB2312" w:hAnsi="Calibri" w:eastAsia="仿宋_GB2312" w:cs="Arial Black"/>
                <w:kern w:val="0"/>
                <w:sz w:val="28"/>
                <w:szCs w:val="28"/>
              </w:rPr>
              <w:t>2</w:t>
            </w:r>
          </w:p>
        </w:tc>
        <w:tc>
          <w:tcPr>
            <w:tcW w:w="3097" w:type="dxa"/>
            <w:vAlign w:val="center"/>
          </w:tcPr>
          <w:p>
            <w:pPr>
              <w:spacing w:line="560" w:lineRule="exact"/>
              <w:jc w:val="both"/>
              <w:rPr>
                <w:rFonts w:hint="eastAsia" w:ascii="仿宋_GB2312" w:hAnsi="Calibri" w:eastAsia="仿宋_GB2312" w:cs="Arial Black"/>
                <w:kern w:val="0"/>
                <w:sz w:val="28"/>
                <w:szCs w:val="28"/>
              </w:rPr>
            </w:pPr>
            <w:r>
              <w:rPr>
                <w:rFonts w:hint="eastAsia" w:ascii="仿宋_GB2312" w:hAnsi="Calibri" w:eastAsia="仿宋_GB2312" w:cs="Arial Black"/>
                <w:kern w:val="0"/>
                <w:sz w:val="28"/>
                <w:szCs w:val="28"/>
              </w:rPr>
              <w:t>高邑县就业服务</w:t>
            </w:r>
            <w:r>
              <w:rPr>
                <w:rFonts w:hint="eastAsia" w:ascii="仿宋_GB2312" w:hAnsi="Calibri" w:eastAsia="仿宋_GB2312" w:cs="Arial Black"/>
                <w:kern w:val="0"/>
                <w:sz w:val="28"/>
                <w:szCs w:val="28"/>
                <w:lang w:eastAsia="zh-CN"/>
              </w:rPr>
              <w:t>中心</w:t>
            </w:r>
          </w:p>
        </w:tc>
        <w:tc>
          <w:tcPr>
            <w:tcW w:w="2475" w:type="dxa"/>
            <w:vAlign w:val="center"/>
          </w:tcPr>
          <w:p>
            <w:pPr>
              <w:spacing w:line="560" w:lineRule="exact"/>
              <w:jc w:val="both"/>
              <w:rPr>
                <w:rFonts w:hint="eastAsia" w:ascii="仿宋_GB2312" w:hAnsi="Calibri" w:eastAsia="仿宋_GB2312" w:cs="Arial Black"/>
                <w:kern w:val="0"/>
                <w:sz w:val="28"/>
                <w:szCs w:val="28"/>
              </w:rPr>
            </w:pPr>
            <w:r>
              <w:rPr>
                <w:rFonts w:hint="eastAsia" w:ascii="仿宋_GB2312" w:hAnsi="Calibri" w:eastAsia="仿宋_GB2312" w:cs="Arial Black"/>
                <w:kern w:val="0"/>
                <w:sz w:val="28"/>
                <w:szCs w:val="28"/>
              </w:rPr>
              <w:t>财政补助事业单位</w:t>
            </w:r>
          </w:p>
        </w:tc>
        <w:tc>
          <w:tcPr>
            <w:tcW w:w="2880" w:type="dxa"/>
            <w:vAlign w:val="center"/>
          </w:tcPr>
          <w:p>
            <w:pPr>
              <w:spacing w:line="560" w:lineRule="exact"/>
              <w:jc w:val="both"/>
              <w:rPr>
                <w:rFonts w:hint="eastAsia" w:ascii="仿宋_GB2312" w:hAnsi="Calibri" w:eastAsia="仿宋_GB2312" w:cs="Arial Black"/>
                <w:kern w:val="0"/>
                <w:sz w:val="28"/>
                <w:szCs w:val="28"/>
              </w:rPr>
            </w:pPr>
            <w:r>
              <w:rPr>
                <w:rFonts w:hint="eastAsia" w:ascii="仿宋_GB2312" w:hAnsi="Calibri" w:eastAsia="仿宋_GB2312" w:cs="Arial Black"/>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vAlign w:val="center"/>
          </w:tcPr>
          <w:p>
            <w:pPr>
              <w:spacing w:line="560" w:lineRule="exact"/>
              <w:jc w:val="both"/>
              <w:rPr>
                <w:rFonts w:hint="eastAsia" w:ascii="仿宋_GB2312" w:hAnsi="Calibri" w:eastAsia="仿宋_GB2312" w:cs="Arial Black"/>
                <w:kern w:val="0"/>
                <w:sz w:val="28"/>
                <w:szCs w:val="28"/>
              </w:rPr>
            </w:pPr>
            <w:r>
              <w:rPr>
                <w:rFonts w:hint="eastAsia" w:ascii="仿宋_GB2312" w:hAnsi="Calibri" w:eastAsia="仿宋_GB2312" w:cs="Arial Black"/>
                <w:kern w:val="0"/>
                <w:sz w:val="28"/>
                <w:szCs w:val="28"/>
              </w:rPr>
              <w:t>3</w:t>
            </w:r>
          </w:p>
        </w:tc>
        <w:tc>
          <w:tcPr>
            <w:tcW w:w="3097" w:type="dxa"/>
            <w:vAlign w:val="center"/>
          </w:tcPr>
          <w:p>
            <w:pPr>
              <w:spacing w:line="560" w:lineRule="exact"/>
              <w:jc w:val="both"/>
              <w:rPr>
                <w:rFonts w:hint="eastAsia" w:ascii="仿宋_GB2312" w:hAnsi="Calibri" w:eastAsia="仿宋_GB2312" w:cs="Arial Black"/>
                <w:kern w:val="0"/>
                <w:sz w:val="28"/>
                <w:szCs w:val="28"/>
              </w:rPr>
            </w:pPr>
            <w:r>
              <w:rPr>
                <w:rFonts w:hint="eastAsia" w:ascii="仿宋_GB2312" w:hAnsi="Calibri" w:eastAsia="仿宋_GB2312" w:cs="Arial Black"/>
                <w:kern w:val="0"/>
                <w:sz w:val="28"/>
                <w:szCs w:val="28"/>
              </w:rPr>
              <w:t>高邑县社会</w:t>
            </w:r>
            <w:r>
              <w:rPr>
                <w:rFonts w:hint="eastAsia" w:ascii="仿宋_GB2312" w:hAnsi="Calibri" w:eastAsia="仿宋_GB2312" w:cs="Arial Black"/>
                <w:kern w:val="0"/>
                <w:sz w:val="28"/>
                <w:szCs w:val="28"/>
                <w:lang w:eastAsia="zh-CN"/>
              </w:rPr>
              <w:t>保险中心</w:t>
            </w:r>
          </w:p>
        </w:tc>
        <w:tc>
          <w:tcPr>
            <w:tcW w:w="2475" w:type="dxa"/>
            <w:vAlign w:val="center"/>
          </w:tcPr>
          <w:p>
            <w:pPr>
              <w:spacing w:line="560" w:lineRule="exact"/>
              <w:jc w:val="both"/>
              <w:rPr>
                <w:rFonts w:hint="eastAsia" w:ascii="仿宋_GB2312" w:hAnsi="Calibri" w:eastAsia="仿宋_GB2312" w:cs="Arial Black"/>
                <w:kern w:val="0"/>
                <w:sz w:val="28"/>
                <w:szCs w:val="28"/>
              </w:rPr>
            </w:pPr>
            <w:r>
              <w:rPr>
                <w:rFonts w:hint="eastAsia" w:ascii="仿宋_GB2312" w:hAnsi="Calibri" w:eastAsia="仿宋_GB2312" w:cs="Arial Black"/>
                <w:kern w:val="0"/>
                <w:sz w:val="28"/>
                <w:szCs w:val="28"/>
              </w:rPr>
              <w:t>财政补助事业单位</w:t>
            </w:r>
          </w:p>
        </w:tc>
        <w:tc>
          <w:tcPr>
            <w:tcW w:w="2880" w:type="dxa"/>
            <w:vAlign w:val="center"/>
          </w:tcPr>
          <w:p>
            <w:pPr>
              <w:spacing w:line="560" w:lineRule="exact"/>
              <w:jc w:val="both"/>
              <w:rPr>
                <w:rFonts w:hint="eastAsia" w:ascii="仿宋_GB2312" w:hAnsi="Calibri" w:eastAsia="仿宋_GB2312" w:cs="Arial Black"/>
                <w:kern w:val="0"/>
                <w:sz w:val="28"/>
                <w:szCs w:val="28"/>
              </w:rPr>
            </w:pPr>
            <w:r>
              <w:rPr>
                <w:rFonts w:hint="eastAsia" w:ascii="仿宋_GB2312" w:hAnsi="Calibri" w:eastAsia="仿宋_GB2312" w:cs="Arial Black"/>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68" w:type="dxa"/>
            <w:tcBorders>
              <w:bottom w:val="single" w:color="auto" w:sz="4" w:space="0"/>
            </w:tcBorders>
            <w:vAlign w:val="center"/>
          </w:tcPr>
          <w:p>
            <w:pPr>
              <w:spacing w:line="560" w:lineRule="exact"/>
              <w:jc w:val="both"/>
              <w:rPr>
                <w:rFonts w:hint="eastAsia" w:ascii="仿宋_GB2312" w:hAnsi="Calibri" w:eastAsia="仿宋_GB2312" w:cs="Arial Black"/>
                <w:kern w:val="0"/>
                <w:sz w:val="28"/>
                <w:szCs w:val="28"/>
                <w:lang w:val="en-US" w:eastAsia="zh-CN"/>
              </w:rPr>
            </w:pPr>
            <w:r>
              <w:rPr>
                <w:rFonts w:hint="eastAsia" w:ascii="仿宋_GB2312" w:hAnsi="Calibri" w:eastAsia="仿宋_GB2312" w:cs="Arial Black"/>
                <w:kern w:val="0"/>
                <w:sz w:val="28"/>
                <w:szCs w:val="28"/>
                <w:lang w:val="en-US" w:eastAsia="zh-CN"/>
              </w:rPr>
              <w:t>4</w:t>
            </w:r>
          </w:p>
        </w:tc>
        <w:tc>
          <w:tcPr>
            <w:tcW w:w="3097" w:type="dxa"/>
            <w:tcBorders>
              <w:bottom w:val="single" w:color="auto" w:sz="4" w:space="0"/>
            </w:tcBorders>
            <w:vAlign w:val="center"/>
          </w:tcPr>
          <w:p>
            <w:pPr>
              <w:spacing w:line="560" w:lineRule="exact"/>
              <w:jc w:val="both"/>
              <w:rPr>
                <w:rFonts w:hint="eastAsia" w:ascii="仿宋_GB2312" w:hAnsi="Calibri" w:eastAsia="仿宋_GB2312" w:cs="Arial Black"/>
                <w:kern w:val="0"/>
                <w:sz w:val="28"/>
                <w:szCs w:val="28"/>
              </w:rPr>
            </w:pPr>
            <w:r>
              <w:rPr>
                <w:rFonts w:hint="eastAsia" w:ascii="仿宋_GB2312" w:hAnsi="Calibri" w:eastAsia="仿宋_GB2312" w:cs="Arial Black"/>
                <w:kern w:val="0"/>
                <w:sz w:val="28"/>
                <w:szCs w:val="28"/>
              </w:rPr>
              <w:t>高邑县城乡居民社会养老保险管理中心</w:t>
            </w:r>
          </w:p>
        </w:tc>
        <w:tc>
          <w:tcPr>
            <w:tcW w:w="2475" w:type="dxa"/>
            <w:tcBorders>
              <w:bottom w:val="single" w:color="auto" w:sz="4" w:space="0"/>
            </w:tcBorders>
            <w:vAlign w:val="center"/>
          </w:tcPr>
          <w:p>
            <w:pPr>
              <w:spacing w:line="560" w:lineRule="exact"/>
              <w:jc w:val="both"/>
              <w:rPr>
                <w:rFonts w:hint="eastAsia" w:ascii="仿宋_GB2312" w:hAnsi="Calibri" w:eastAsia="仿宋_GB2312" w:cs="Arial Black"/>
                <w:kern w:val="0"/>
                <w:sz w:val="28"/>
                <w:szCs w:val="28"/>
              </w:rPr>
            </w:pPr>
            <w:r>
              <w:rPr>
                <w:rFonts w:hint="eastAsia" w:ascii="仿宋_GB2312" w:hAnsi="Calibri" w:eastAsia="仿宋_GB2312" w:cs="Arial Black"/>
                <w:kern w:val="0"/>
                <w:sz w:val="28"/>
                <w:szCs w:val="28"/>
              </w:rPr>
              <w:t>财政补助事业单位</w:t>
            </w:r>
          </w:p>
        </w:tc>
        <w:tc>
          <w:tcPr>
            <w:tcW w:w="2880" w:type="dxa"/>
            <w:tcBorders>
              <w:bottom w:val="single" w:color="auto" w:sz="4" w:space="0"/>
            </w:tcBorders>
            <w:vAlign w:val="center"/>
          </w:tcPr>
          <w:p>
            <w:pPr>
              <w:spacing w:line="560" w:lineRule="exact"/>
              <w:jc w:val="both"/>
              <w:rPr>
                <w:rFonts w:hint="eastAsia" w:ascii="仿宋_GB2312" w:hAnsi="Calibri" w:eastAsia="仿宋_GB2312" w:cs="Arial Black"/>
                <w:kern w:val="0"/>
                <w:sz w:val="28"/>
                <w:szCs w:val="28"/>
              </w:rPr>
            </w:pPr>
            <w:r>
              <w:rPr>
                <w:rFonts w:hint="eastAsia" w:ascii="仿宋_GB2312" w:hAnsi="Calibri" w:eastAsia="仿宋_GB2312" w:cs="Arial Black"/>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68" w:type="dxa"/>
            <w:tcBorders>
              <w:bottom w:val="single" w:color="auto" w:sz="4" w:space="0"/>
            </w:tcBorders>
            <w:vAlign w:val="center"/>
          </w:tcPr>
          <w:p>
            <w:pPr>
              <w:spacing w:line="560" w:lineRule="exact"/>
              <w:jc w:val="both"/>
              <w:rPr>
                <w:rFonts w:hint="eastAsia" w:ascii="仿宋_GB2312" w:hAnsi="Calibri" w:eastAsia="仿宋_GB2312" w:cs="Arial Black"/>
                <w:kern w:val="0"/>
                <w:sz w:val="28"/>
                <w:szCs w:val="28"/>
                <w:lang w:val="en-US" w:eastAsia="zh-CN"/>
              </w:rPr>
            </w:pPr>
            <w:r>
              <w:rPr>
                <w:rFonts w:hint="eastAsia" w:ascii="仿宋_GB2312" w:hAnsi="Calibri" w:eastAsia="仿宋_GB2312" w:cs="Arial Black"/>
                <w:kern w:val="0"/>
                <w:sz w:val="28"/>
                <w:szCs w:val="28"/>
                <w:lang w:val="en-US" w:eastAsia="zh-CN"/>
              </w:rPr>
              <w:t>5</w:t>
            </w:r>
          </w:p>
        </w:tc>
        <w:tc>
          <w:tcPr>
            <w:tcW w:w="3097" w:type="dxa"/>
            <w:tcBorders>
              <w:bottom w:val="single" w:color="auto" w:sz="4" w:space="0"/>
            </w:tcBorders>
            <w:vAlign w:val="center"/>
          </w:tcPr>
          <w:p>
            <w:pPr>
              <w:spacing w:line="560" w:lineRule="exact"/>
              <w:jc w:val="both"/>
              <w:rPr>
                <w:rFonts w:hint="eastAsia" w:ascii="仿宋_GB2312" w:hAnsi="Calibri" w:eastAsia="仿宋_GB2312" w:cs="Arial Black"/>
                <w:kern w:val="0"/>
                <w:sz w:val="28"/>
                <w:szCs w:val="28"/>
              </w:rPr>
            </w:pPr>
            <w:r>
              <w:rPr>
                <w:rFonts w:hint="eastAsia" w:ascii="仿宋_GB2312" w:hAnsi="Calibri" w:eastAsia="仿宋_GB2312" w:cs="Arial Black"/>
                <w:kern w:val="0"/>
                <w:sz w:val="28"/>
                <w:szCs w:val="28"/>
              </w:rPr>
              <w:t>高邑县劳动技工学校</w:t>
            </w:r>
          </w:p>
        </w:tc>
        <w:tc>
          <w:tcPr>
            <w:tcW w:w="2475" w:type="dxa"/>
            <w:tcBorders>
              <w:bottom w:val="single" w:color="auto" w:sz="4" w:space="0"/>
            </w:tcBorders>
            <w:vAlign w:val="center"/>
          </w:tcPr>
          <w:p>
            <w:pPr>
              <w:spacing w:line="560" w:lineRule="exact"/>
              <w:jc w:val="both"/>
              <w:rPr>
                <w:rFonts w:hint="eastAsia" w:ascii="仿宋_GB2312" w:hAnsi="Calibri" w:eastAsia="仿宋_GB2312" w:cs="Arial Black"/>
                <w:kern w:val="0"/>
                <w:sz w:val="28"/>
                <w:szCs w:val="28"/>
              </w:rPr>
            </w:pPr>
            <w:r>
              <w:rPr>
                <w:rFonts w:hint="eastAsia" w:ascii="仿宋_GB2312" w:hAnsi="Calibri" w:eastAsia="仿宋_GB2312" w:cs="Arial Black"/>
                <w:kern w:val="0"/>
                <w:sz w:val="28"/>
                <w:szCs w:val="28"/>
              </w:rPr>
              <w:t>财政补助事业单位</w:t>
            </w:r>
          </w:p>
        </w:tc>
        <w:tc>
          <w:tcPr>
            <w:tcW w:w="2880" w:type="dxa"/>
            <w:tcBorders>
              <w:bottom w:val="single" w:color="auto" w:sz="4" w:space="0"/>
            </w:tcBorders>
            <w:vAlign w:val="center"/>
          </w:tcPr>
          <w:p>
            <w:pPr>
              <w:spacing w:line="560" w:lineRule="exact"/>
              <w:jc w:val="both"/>
              <w:rPr>
                <w:rFonts w:hint="eastAsia" w:ascii="仿宋_GB2312" w:hAnsi="Calibri" w:eastAsia="仿宋_GB2312" w:cs="Arial Black"/>
                <w:kern w:val="0"/>
                <w:sz w:val="28"/>
                <w:szCs w:val="28"/>
              </w:rPr>
            </w:pPr>
            <w:r>
              <w:rPr>
                <w:rFonts w:hint="eastAsia" w:ascii="仿宋_GB2312" w:hAnsi="Calibri" w:eastAsia="仿宋_GB2312" w:cs="Arial Black"/>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2" w:hRule="atLeast"/>
          <w:jc w:val="center"/>
        </w:trPr>
        <w:tc>
          <w:tcPr>
            <w:tcW w:w="9420" w:type="dxa"/>
            <w:gridSpan w:val="4"/>
            <w:tcBorders>
              <w:top w:val="single" w:color="auto" w:sz="4" w:space="0"/>
              <w:left w:val="nil"/>
              <w:bottom w:val="nil"/>
              <w:right w:val="nil"/>
            </w:tcBorders>
          </w:tcPr>
          <w:p>
            <w:pPr>
              <w:spacing w:line="560" w:lineRule="exact"/>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注：1、单位基本性质分为、参公事业单位、财政补助事业单位、经费自理事业单位四类。</w:t>
            </w:r>
          </w:p>
          <w:p>
            <w:pPr>
              <w:spacing w:line="560" w:lineRule="exact"/>
              <w:ind w:firstLine="560" w:firstLineChars="200"/>
              <w:jc w:val="left"/>
              <w:rPr>
                <w:rFonts w:ascii="仿宋_GB2312" w:hAnsi="Calibri" w:eastAsia="仿宋_GB2312" w:cs="Arial Black"/>
                <w:kern w:val="0"/>
                <w:sz w:val="28"/>
                <w:szCs w:val="28"/>
              </w:rPr>
            </w:pPr>
            <w:r>
              <w:rPr>
                <w:rFonts w:hint="eastAsia" w:ascii="仿宋_GB2312" w:hAnsi="Calibri" w:eastAsia="仿宋_GB2312" w:cs="Arial Black"/>
                <w:kern w:val="0"/>
                <w:sz w:val="28"/>
                <w:szCs w:val="28"/>
              </w:rPr>
              <w:t>2、经费形式分为、财政性资金基本保证、财政性资金定额或定项补助、财政性资金零补助四类。</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
      <w:pPr>
        <w:widowControl/>
        <w:spacing w:after="160" w:line="580" w:lineRule="exact"/>
        <w:ind w:firstLine="1440" w:firstLineChars="200"/>
        <w:rPr>
          <w:rFonts w:ascii="Times New Roman" w:hAnsi="Times New Roman" w:eastAsia="黑体" w:cs="Times New Roman"/>
          <w:sz w:val="32"/>
          <w:szCs w:val="32"/>
        </w:rPr>
        <w:sectPr>
          <w:headerReference r:id="rId7"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233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233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3360"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3360;v-text-anchor:middle;mso-width-relative:page;mso-height-relative:page;" fillcolor="#7F7F7F [1612]" filled="t" stroked="t" coordsize="21600,21600" o:gfxdata="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vBcO0d0AAAAOAQAADwAAAAAAAAABACAAAAAiAAAAZHJzL2Rvd25yZXYueG1s&#10;UEsBAhQAFAAAAAgAh07iQFmkM3ieAgAAbQUAAA4AAAAAAAAAAQAgAAAALAEAAGRycy9lMm9Eb2Mu&#10;eG1sUEsFBgAAAAAGAAYAWQEAADwGAAAAAA==&#10;">
                <v:fill type="pattern" on="t" color2="#FFFFFF [3212]" o:title="5%" focussize="0,0" r:id="rId11"/>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ind w:firstLine="420" w:firstLineChars="200"/>
        <w:outlineLvl w:val="1"/>
        <w:rPr>
          <w:rFonts w:ascii="黑体" w:hAnsi="Calibri" w:eastAsia="黑体" w:cs="Times New Roman"/>
          <w:color w:val="auto"/>
          <w:sz w:val="32"/>
          <w:szCs w:val="32"/>
        </w:rPr>
      </w:pPr>
      <w:r>
        <w:br w:type="page"/>
      </w:r>
      <w:r>
        <w:rPr>
          <w:rFonts w:hint="eastAsia" w:ascii="黑体" w:hAnsi="Calibri" w:eastAsia="黑体" w:cs="Times New Roman"/>
          <w:color w:val="auto"/>
          <w:sz w:val="32"/>
          <w:szCs w:val="32"/>
        </w:rPr>
        <w:t>一、收入</w:t>
      </w:r>
      <w:r>
        <w:rPr>
          <w:rFonts w:hint="eastAsia" w:ascii="黑体" w:hAnsi="Cambria" w:eastAsia="黑体" w:cs="黑体"/>
          <w:color w:val="auto"/>
          <w:kern w:val="0"/>
          <w:sz w:val="32"/>
          <w:szCs w:val="32"/>
        </w:rPr>
        <w:t>支出</w:t>
      </w:r>
      <w:r>
        <w:rPr>
          <w:rFonts w:hint="eastAsia" w:ascii="黑体" w:hAnsi="Calibri" w:eastAsia="黑体" w:cs="Times New Roman"/>
          <w:color w:val="auto"/>
          <w:sz w:val="32"/>
          <w:szCs w:val="32"/>
        </w:rPr>
        <w:t>决算总体情况说明</w:t>
      </w:r>
    </w:p>
    <w:p>
      <w:pPr>
        <w:adjustRightInd w:val="0"/>
        <w:snapToGrid w:val="0"/>
        <w:spacing w:line="600" w:lineRule="exact"/>
        <w:ind w:firstLine="640" w:firstLineChars="200"/>
        <w:rPr>
          <w:rFonts w:hint="eastAsia" w:ascii="仿宋_GB2312" w:hAnsi="Times New Roman" w:eastAsia="仿宋_GB2312" w:cs="Wingdings"/>
          <w:sz w:val="32"/>
          <w:szCs w:val="32"/>
          <w:lang w:eastAsia="zh-CN"/>
        </w:rPr>
      </w:pPr>
      <w:r>
        <w:rPr>
          <w:rFonts w:hint="eastAsia" w:ascii="仿宋_GB2312" w:hAnsi="Times New Roman" w:eastAsia="仿宋_GB2312" w:cs="Wingdings"/>
          <w:color w:val="auto"/>
          <w:sz w:val="32"/>
          <w:szCs w:val="32"/>
        </w:rPr>
        <w:t>本部门2020年度收、支总计（含结转和结余）13665.02万元。与2019年度决算相比，收支各增加3740.18万元，增长</w:t>
      </w:r>
      <w:r>
        <w:rPr>
          <w:rFonts w:hint="eastAsia" w:ascii="仿宋_GB2312" w:hAnsi="Times New Roman" w:eastAsia="仿宋_GB2312" w:cs="Wingdings"/>
          <w:color w:val="auto"/>
          <w:sz w:val="32"/>
          <w:szCs w:val="32"/>
          <w:lang w:val="en-US" w:eastAsia="zh-CN"/>
        </w:rPr>
        <w:t>37.69</w:t>
      </w:r>
      <w:r>
        <w:rPr>
          <w:rFonts w:hint="eastAsia" w:ascii="仿宋_GB2312" w:hAnsi="Times New Roman" w:eastAsia="仿宋_GB2312" w:cs="Wingdings"/>
          <w:color w:val="auto"/>
          <w:sz w:val="32"/>
          <w:szCs w:val="32"/>
        </w:rPr>
        <w:t>%，主要是</w:t>
      </w:r>
      <w:r>
        <w:rPr>
          <w:rFonts w:hint="eastAsia" w:ascii="仿宋_GB2312" w:hAnsi="Times New Roman" w:eastAsia="仿宋_GB2312" w:cs="Wingdings"/>
          <w:color w:val="auto"/>
          <w:sz w:val="32"/>
          <w:szCs w:val="32"/>
          <w:lang w:eastAsia="zh-CN"/>
        </w:rPr>
        <w:t>机关事</w:t>
      </w:r>
      <w:r>
        <w:rPr>
          <w:rFonts w:hint="eastAsia" w:ascii="仿宋_GB2312" w:hAnsi="Times New Roman" w:eastAsia="仿宋_GB2312" w:cs="Wingdings"/>
          <w:sz w:val="32"/>
          <w:szCs w:val="32"/>
          <w:lang w:eastAsia="zh-CN"/>
        </w:rPr>
        <w:t>业单位基本养老保险补助、行政单位离退休、行政事业单位养老支出、企业职工基本养老保险基金的补助支出纳入部门决算，收支增加。</w:t>
      </w:r>
    </w:p>
    <w:p>
      <w:pPr>
        <w:adjustRightInd w:val="0"/>
        <w:snapToGrid w:val="0"/>
        <w:spacing w:line="600" w:lineRule="exact"/>
        <w:ind w:firstLine="640" w:firstLineChars="200"/>
        <w:rPr>
          <w:rFonts w:hint="eastAsia" w:ascii="仿宋_GB2312" w:hAnsi="Times New Roman" w:eastAsia="仿宋_GB2312" w:cs="Wingdings"/>
          <w:sz w:val="32"/>
          <w:szCs w:val="32"/>
          <w:lang w:eastAsia="zh-CN"/>
        </w:rPr>
      </w:pPr>
    </w:p>
    <w:p>
      <w:pPr>
        <w:adjustRightInd w:val="0"/>
        <w:snapToGrid w:val="0"/>
        <w:spacing w:line="600" w:lineRule="exact"/>
        <w:rPr>
          <w:rFonts w:ascii="仿宋_GB2312" w:hAnsi="Times New Roman" w:eastAsia="仿宋_GB2312" w:cs="Wingdings"/>
          <w:sz w:val="32"/>
          <w:szCs w:val="32"/>
        </w:rPr>
      </w:pPr>
      <w:r>
        <w:rPr>
          <w:rFonts w:hint="eastAsia" w:ascii="仿宋_GB2312" w:hAnsi="Times New Roman" w:eastAsia="仿宋_GB2312" w:cs="Wingdings"/>
          <w:sz w:val="32"/>
          <w:szCs w:val="32"/>
        </w:rPr>
        <w:drawing>
          <wp:anchor distT="0" distB="0" distL="114300" distR="114300" simplePos="0" relativeHeight="251664384" behindDoc="1" locked="0" layoutInCell="1" allowOverlap="1">
            <wp:simplePos x="0" y="0"/>
            <wp:positionH relativeFrom="column">
              <wp:posOffset>744220</wp:posOffset>
            </wp:positionH>
            <wp:positionV relativeFrom="paragraph">
              <wp:posOffset>62230</wp:posOffset>
            </wp:positionV>
            <wp:extent cx="4157980" cy="2273300"/>
            <wp:effectExtent l="0" t="0" r="2540" b="12700"/>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spacing w:line="600" w:lineRule="exact"/>
        <w:ind w:firstLine="640" w:firstLineChars="200"/>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hint="eastAsia" w:ascii="黑体" w:hAnsi="Calibri" w:eastAsia="黑体" w:cs="Times New Roman"/>
          <w:color w:val="auto"/>
          <w:sz w:val="32"/>
          <w:szCs w:val="32"/>
        </w:rPr>
      </w:pPr>
    </w:p>
    <w:p>
      <w:pPr>
        <w:keepNext/>
        <w:keepLines/>
        <w:snapToGrid w:val="0"/>
        <w:spacing w:line="600" w:lineRule="exact"/>
        <w:ind w:firstLine="640" w:firstLineChars="200"/>
        <w:outlineLvl w:val="1"/>
        <w:rPr>
          <w:rFonts w:ascii="黑体" w:hAnsi="Calibri" w:eastAsia="黑体" w:cs="Times New Roman"/>
          <w:color w:val="auto"/>
          <w:sz w:val="32"/>
          <w:szCs w:val="32"/>
        </w:rPr>
      </w:pPr>
      <w:r>
        <w:rPr>
          <w:rFonts w:hint="eastAsia" w:ascii="黑体" w:hAnsi="Calibri" w:eastAsia="黑体" w:cs="Times New Roman"/>
          <w:color w:val="auto"/>
          <w:sz w:val="32"/>
          <w:szCs w:val="32"/>
        </w:rPr>
        <w:t>二、收入决算情况说明</w:t>
      </w:r>
    </w:p>
    <w:p>
      <w:pPr>
        <w:adjustRightInd w:val="0"/>
        <w:snapToGrid w:val="0"/>
        <w:spacing w:line="600" w:lineRule="exact"/>
        <w:ind w:firstLine="640" w:firstLineChars="200"/>
        <w:rPr>
          <w:rFonts w:hint="eastAsia" w:ascii="仿宋_GB2312" w:hAnsi="Times New Roman" w:eastAsia="仿宋_GB2312" w:cs="Wingdings"/>
          <w:color w:val="auto"/>
          <w:sz w:val="32"/>
          <w:szCs w:val="32"/>
          <w:lang w:eastAsia="zh-CN"/>
        </w:rPr>
      </w:pPr>
      <w:r>
        <w:rPr>
          <w:rFonts w:hint="eastAsia" w:ascii="仿宋_GB2312" w:hAnsi="Times New Roman" w:eastAsia="仿宋_GB2312" w:cs="Wingdings"/>
          <w:color w:val="auto"/>
          <w:sz w:val="32"/>
          <w:szCs w:val="32"/>
        </w:rPr>
        <w:t>本部门2020年度本年收入合计13601.53万元，其中：财政拨款收入13562.02万元，占</w:t>
      </w:r>
      <w:r>
        <w:rPr>
          <w:rFonts w:hint="eastAsia" w:ascii="仿宋_GB2312" w:hAnsi="Times New Roman" w:eastAsia="仿宋_GB2312" w:cs="Wingdings"/>
          <w:color w:val="auto"/>
          <w:sz w:val="32"/>
          <w:szCs w:val="32"/>
          <w:lang w:val="en-US" w:eastAsia="zh-CN"/>
        </w:rPr>
        <w:t>99.71</w:t>
      </w:r>
      <w:r>
        <w:rPr>
          <w:rFonts w:hint="eastAsia" w:ascii="仿宋_GB2312" w:hAnsi="Times New Roman" w:eastAsia="仿宋_GB2312" w:cs="Wingdings"/>
          <w:color w:val="auto"/>
          <w:sz w:val="32"/>
          <w:szCs w:val="32"/>
        </w:rPr>
        <w:t>%；上级补助收入</w:t>
      </w:r>
      <w:r>
        <w:rPr>
          <w:rFonts w:hint="eastAsia" w:ascii="仿宋_GB2312" w:hAnsi="Times New Roman" w:eastAsia="仿宋_GB2312" w:cs="Wingdings"/>
          <w:color w:val="auto"/>
          <w:sz w:val="32"/>
          <w:szCs w:val="32"/>
          <w:lang w:val="en-US" w:eastAsia="zh-CN"/>
        </w:rPr>
        <w:t>0</w:t>
      </w:r>
      <w:r>
        <w:rPr>
          <w:rFonts w:hint="eastAsia" w:ascii="仿宋_GB2312" w:hAnsi="Times New Roman" w:eastAsia="仿宋_GB2312" w:cs="Wingdings"/>
          <w:color w:val="auto"/>
          <w:sz w:val="32"/>
          <w:szCs w:val="32"/>
        </w:rPr>
        <w:t>万元，占</w:t>
      </w:r>
      <w:r>
        <w:rPr>
          <w:rFonts w:hint="eastAsia" w:ascii="仿宋_GB2312" w:hAnsi="Times New Roman" w:eastAsia="仿宋_GB2312" w:cs="Wingdings"/>
          <w:color w:val="auto"/>
          <w:sz w:val="32"/>
          <w:szCs w:val="32"/>
          <w:lang w:val="en-US" w:eastAsia="zh-CN"/>
        </w:rPr>
        <w:t>0</w:t>
      </w:r>
      <w:r>
        <w:rPr>
          <w:rFonts w:hint="eastAsia" w:ascii="仿宋_GB2312" w:hAnsi="Times New Roman" w:eastAsia="仿宋_GB2312" w:cs="Wingdings"/>
          <w:color w:val="auto"/>
          <w:sz w:val="32"/>
          <w:szCs w:val="32"/>
        </w:rPr>
        <w:t>%；事业收入</w:t>
      </w:r>
      <w:r>
        <w:rPr>
          <w:rFonts w:hint="eastAsia" w:ascii="仿宋_GB2312" w:hAnsi="Times New Roman" w:eastAsia="仿宋_GB2312" w:cs="Wingdings"/>
          <w:color w:val="auto"/>
          <w:sz w:val="32"/>
          <w:szCs w:val="32"/>
          <w:lang w:val="en-US" w:eastAsia="zh-CN"/>
        </w:rPr>
        <w:t>0</w:t>
      </w:r>
      <w:r>
        <w:rPr>
          <w:rFonts w:hint="eastAsia" w:ascii="仿宋_GB2312" w:hAnsi="Times New Roman" w:eastAsia="仿宋_GB2312" w:cs="Wingdings"/>
          <w:color w:val="auto"/>
          <w:sz w:val="32"/>
          <w:szCs w:val="32"/>
        </w:rPr>
        <w:t>万元，占</w:t>
      </w:r>
      <w:r>
        <w:rPr>
          <w:rFonts w:hint="eastAsia" w:ascii="仿宋_GB2312" w:hAnsi="Times New Roman" w:eastAsia="仿宋_GB2312" w:cs="Wingdings"/>
          <w:color w:val="auto"/>
          <w:sz w:val="32"/>
          <w:szCs w:val="32"/>
          <w:lang w:val="en-US" w:eastAsia="zh-CN"/>
        </w:rPr>
        <w:t>0</w:t>
      </w:r>
      <w:r>
        <w:rPr>
          <w:rFonts w:hint="eastAsia" w:ascii="仿宋_GB2312" w:hAnsi="Times New Roman" w:eastAsia="仿宋_GB2312" w:cs="Wingdings"/>
          <w:color w:val="auto"/>
          <w:sz w:val="32"/>
          <w:szCs w:val="32"/>
        </w:rPr>
        <w:t>%；经营收入</w:t>
      </w:r>
      <w:r>
        <w:rPr>
          <w:rFonts w:hint="eastAsia" w:ascii="仿宋_GB2312" w:hAnsi="Times New Roman" w:eastAsia="仿宋_GB2312" w:cs="Wingdings"/>
          <w:color w:val="auto"/>
          <w:sz w:val="32"/>
          <w:szCs w:val="32"/>
          <w:lang w:val="en-US" w:eastAsia="zh-CN"/>
        </w:rPr>
        <w:t>0</w:t>
      </w:r>
      <w:r>
        <w:rPr>
          <w:rFonts w:hint="eastAsia" w:ascii="仿宋_GB2312" w:hAnsi="Times New Roman" w:eastAsia="仿宋_GB2312" w:cs="Wingdings"/>
          <w:color w:val="auto"/>
          <w:sz w:val="32"/>
          <w:szCs w:val="32"/>
        </w:rPr>
        <w:t>万元，占</w:t>
      </w:r>
      <w:r>
        <w:rPr>
          <w:rFonts w:hint="eastAsia" w:ascii="仿宋_GB2312" w:hAnsi="Times New Roman" w:eastAsia="仿宋_GB2312" w:cs="Wingdings"/>
          <w:color w:val="auto"/>
          <w:sz w:val="32"/>
          <w:szCs w:val="32"/>
          <w:lang w:val="en-US" w:eastAsia="zh-CN"/>
        </w:rPr>
        <w:t>0</w:t>
      </w:r>
      <w:r>
        <w:rPr>
          <w:rFonts w:hint="eastAsia" w:ascii="仿宋_GB2312" w:hAnsi="Times New Roman" w:eastAsia="仿宋_GB2312" w:cs="Wingdings"/>
          <w:color w:val="auto"/>
          <w:sz w:val="32"/>
          <w:szCs w:val="32"/>
        </w:rPr>
        <w:t>%；附属单位上缴收入</w:t>
      </w:r>
      <w:r>
        <w:rPr>
          <w:rFonts w:hint="eastAsia" w:ascii="仿宋_GB2312" w:hAnsi="Times New Roman" w:eastAsia="仿宋_GB2312" w:cs="Wingdings"/>
          <w:color w:val="auto"/>
          <w:sz w:val="32"/>
          <w:szCs w:val="32"/>
          <w:lang w:val="en-US" w:eastAsia="zh-CN"/>
        </w:rPr>
        <w:t>0</w:t>
      </w:r>
      <w:r>
        <w:rPr>
          <w:rFonts w:hint="eastAsia" w:ascii="仿宋_GB2312" w:hAnsi="Times New Roman" w:eastAsia="仿宋_GB2312" w:cs="Wingdings"/>
          <w:color w:val="auto"/>
          <w:sz w:val="32"/>
          <w:szCs w:val="32"/>
        </w:rPr>
        <w:t>万元，占</w:t>
      </w:r>
      <w:r>
        <w:rPr>
          <w:rFonts w:hint="eastAsia" w:ascii="仿宋_GB2312" w:hAnsi="Times New Roman" w:eastAsia="仿宋_GB2312" w:cs="Wingdings"/>
          <w:color w:val="auto"/>
          <w:sz w:val="32"/>
          <w:szCs w:val="32"/>
          <w:lang w:val="en-US" w:eastAsia="zh-CN"/>
        </w:rPr>
        <w:t>0</w:t>
      </w:r>
      <w:r>
        <w:rPr>
          <w:rFonts w:hint="eastAsia" w:ascii="仿宋_GB2312" w:hAnsi="Times New Roman" w:eastAsia="仿宋_GB2312" w:cs="Wingdings"/>
          <w:color w:val="auto"/>
          <w:sz w:val="32"/>
          <w:szCs w:val="32"/>
        </w:rPr>
        <w:t>%；其他收入39.5万元，占</w:t>
      </w:r>
      <w:r>
        <w:rPr>
          <w:rFonts w:hint="eastAsia" w:ascii="仿宋_GB2312" w:hAnsi="Times New Roman" w:eastAsia="仿宋_GB2312" w:cs="Wingdings"/>
          <w:color w:val="auto"/>
          <w:sz w:val="32"/>
          <w:szCs w:val="32"/>
          <w:lang w:val="en-US" w:eastAsia="zh-CN"/>
        </w:rPr>
        <w:t>0.29</w:t>
      </w:r>
      <w:r>
        <w:rPr>
          <w:rFonts w:hint="eastAsia" w:ascii="仿宋_GB2312" w:hAnsi="Times New Roman" w:eastAsia="仿宋_GB2312" w:cs="Wingdings"/>
          <w:color w:val="auto"/>
          <w:sz w:val="32"/>
          <w:szCs w:val="32"/>
        </w:rPr>
        <w:t>%。如图所示</w:t>
      </w:r>
      <w:r>
        <w:rPr>
          <w:rFonts w:hint="eastAsia" w:ascii="仿宋_GB2312" w:hAnsi="Times New Roman" w:eastAsia="仿宋_GB2312" w:cs="Wingdings"/>
          <w:color w:val="auto"/>
          <w:sz w:val="32"/>
          <w:szCs w:val="32"/>
          <w:lang w:eastAsia="zh-CN"/>
        </w:rPr>
        <w:t>：</w:t>
      </w:r>
    </w:p>
    <w:p>
      <w:pPr>
        <w:adjustRightInd w:val="0"/>
        <w:snapToGrid w:val="0"/>
        <w:spacing w:line="600" w:lineRule="exact"/>
        <w:ind w:firstLine="640" w:firstLineChars="200"/>
        <w:rPr>
          <w:rFonts w:hint="eastAsia" w:ascii="仿宋_GB2312" w:hAnsi="Times New Roman" w:eastAsia="仿宋_GB2312" w:cs="Wingdings"/>
          <w:color w:val="auto"/>
          <w:sz w:val="32"/>
          <w:szCs w:val="32"/>
          <w:lang w:eastAsia="zh-CN"/>
        </w:rPr>
      </w:pPr>
    </w:p>
    <w:p>
      <w:pPr>
        <w:adjustRightInd w:val="0"/>
        <w:snapToGrid w:val="0"/>
        <w:spacing w:line="600" w:lineRule="exact"/>
        <w:rPr>
          <w:rFonts w:ascii="仿宋_GB2312" w:hAnsi="Times New Roman" w:eastAsia="仿宋_GB2312" w:cs="Wingdings"/>
          <w:sz w:val="32"/>
          <w:szCs w:val="32"/>
        </w:rPr>
      </w:pPr>
    </w:p>
    <w:p>
      <w:pPr>
        <w:adjustRightInd w:val="0"/>
        <w:snapToGrid w:val="0"/>
        <w:spacing w:line="600" w:lineRule="exact"/>
        <w:rPr>
          <w:rFonts w:ascii="仿宋_GB2312" w:hAnsi="Times New Roman" w:eastAsia="仿宋_GB2312" w:cs="Wingdings"/>
          <w:sz w:val="32"/>
          <w:szCs w:val="32"/>
        </w:rPr>
      </w:pPr>
    </w:p>
    <w:p>
      <w:pPr>
        <w:adjustRightInd w:val="0"/>
        <w:snapToGrid w:val="0"/>
        <w:spacing w:line="600" w:lineRule="exact"/>
        <w:rPr>
          <w:rFonts w:ascii="仿宋_GB2312" w:hAnsi="Times New Roman" w:eastAsia="仿宋_GB2312" w:cs="Wingdings"/>
          <w:sz w:val="32"/>
          <w:szCs w:val="32"/>
        </w:rPr>
      </w:pPr>
    </w:p>
    <w:p>
      <w:pPr>
        <w:adjustRightInd w:val="0"/>
        <w:snapToGrid w:val="0"/>
        <w:spacing w:line="600" w:lineRule="exact"/>
        <w:rPr>
          <w:rFonts w:ascii="仿宋_GB2312" w:hAnsi="Times New Roman" w:eastAsia="仿宋_GB2312" w:cs="Wingdings"/>
          <w:sz w:val="32"/>
          <w:szCs w:val="32"/>
        </w:rPr>
      </w:pPr>
    </w:p>
    <w:p>
      <w:pPr>
        <w:adjustRightInd w:val="0"/>
        <w:snapToGrid w:val="0"/>
        <w:spacing w:line="600" w:lineRule="exact"/>
        <w:jc w:val="center"/>
        <w:rPr>
          <w:rFonts w:ascii="仿宋_GB2312" w:hAnsi="Times New Roman" w:eastAsia="仿宋_GB2312" w:cs="Wingdings"/>
          <w:sz w:val="32"/>
          <w:szCs w:val="32"/>
        </w:rPr>
      </w:pPr>
    </w:p>
    <w:p>
      <w:pPr>
        <w:adjustRightInd w:val="0"/>
        <w:snapToGrid w:val="0"/>
        <w:spacing w:line="600" w:lineRule="exact"/>
        <w:rPr>
          <w:rFonts w:ascii="仿宋_GB2312" w:hAnsi="Times New Roman" w:eastAsia="仿宋_GB2312" w:cs="Wingdings"/>
          <w:sz w:val="32"/>
          <w:szCs w:val="32"/>
        </w:rPr>
      </w:pPr>
    </w:p>
    <w:p>
      <w:pPr>
        <w:adjustRightInd w:val="0"/>
        <w:snapToGrid w:val="0"/>
        <w:spacing w:line="600" w:lineRule="exact"/>
        <w:rPr>
          <w:rFonts w:ascii="仿宋_GB2312" w:hAnsi="Times New Roman" w:eastAsia="仿宋_GB2312" w:cs="Wingdings"/>
          <w:sz w:val="32"/>
          <w:szCs w:val="32"/>
        </w:rPr>
      </w:pPr>
      <w:r>
        <w:rPr>
          <w:rFonts w:hint="eastAsia" w:ascii="仿宋_GB2312" w:hAnsi="Times New Roman" w:eastAsia="仿宋_GB2312" w:cs="Wingdings"/>
          <w:color w:val="auto"/>
          <w:sz w:val="32"/>
          <w:szCs w:val="32"/>
          <w:lang w:eastAsia="zh-CN"/>
        </w:rPr>
        <w:drawing>
          <wp:anchor distT="0" distB="0" distL="114300" distR="114300" simplePos="0" relativeHeight="251659264" behindDoc="1" locked="0" layoutInCell="1" allowOverlap="1">
            <wp:simplePos x="0" y="0"/>
            <wp:positionH relativeFrom="column">
              <wp:posOffset>4445</wp:posOffset>
            </wp:positionH>
            <wp:positionV relativeFrom="paragraph">
              <wp:posOffset>-2148205</wp:posOffset>
            </wp:positionV>
            <wp:extent cx="5555615" cy="2439670"/>
            <wp:effectExtent l="4445" t="4445" r="21590" b="13335"/>
            <wp:wrapNone/>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pPr>
        <w:snapToGrid w:val="0"/>
        <w:spacing w:line="600" w:lineRule="exact"/>
        <w:ind w:firstLine="640" w:firstLineChars="200"/>
        <w:outlineLvl w:val="1"/>
        <w:rPr>
          <w:rFonts w:hint="eastAsia" w:ascii="黑体" w:hAnsi="Calibri" w:eastAsia="黑体" w:cs="Times New Roman"/>
          <w:color w:val="00B050"/>
          <w:sz w:val="32"/>
          <w:szCs w:val="32"/>
        </w:rPr>
      </w:pPr>
    </w:p>
    <w:p>
      <w:pPr>
        <w:snapToGrid w:val="0"/>
        <w:spacing w:line="600" w:lineRule="exact"/>
        <w:ind w:firstLine="640" w:firstLineChars="200"/>
        <w:outlineLvl w:val="1"/>
        <w:rPr>
          <w:rFonts w:ascii="黑体" w:hAnsi="Calibri" w:eastAsia="黑体" w:cs="Times New Roman"/>
          <w:color w:val="auto"/>
          <w:sz w:val="32"/>
          <w:szCs w:val="32"/>
        </w:rPr>
      </w:pPr>
      <w:r>
        <w:rPr>
          <w:rFonts w:hint="eastAsia" w:ascii="黑体" w:hAnsi="Calibri" w:eastAsia="黑体" w:cs="Times New Roman"/>
          <w:color w:val="auto"/>
          <w:sz w:val="32"/>
          <w:szCs w:val="32"/>
        </w:rPr>
        <w:t>三、支出决算情况说明</w:t>
      </w:r>
    </w:p>
    <w:p>
      <w:pPr>
        <w:adjustRightInd w:val="0"/>
        <w:snapToGrid w:val="0"/>
        <w:spacing w:line="600" w:lineRule="exact"/>
        <w:ind w:firstLine="640" w:firstLineChars="200"/>
        <w:rPr>
          <w:rFonts w:hint="eastAsia" w:ascii="仿宋_GB2312" w:hAnsi="Times New Roman" w:eastAsia="仿宋_GB2312" w:cs="Wingdings"/>
          <w:color w:val="auto"/>
          <w:sz w:val="32"/>
          <w:szCs w:val="32"/>
        </w:rPr>
      </w:pPr>
      <w:r>
        <w:rPr>
          <w:rFonts w:hint="eastAsia" w:ascii="仿宋_GB2312" w:hAnsi="Times New Roman" w:eastAsia="仿宋_GB2312" w:cs="Wingdings"/>
          <w:color w:val="auto"/>
          <w:sz w:val="32"/>
          <w:szCs w:val="32"/>
        </w:rPr>
        <w:t>本部门2020年度本年支出合计13342.03万元，其中：基本支出872.8万元，占</w:t>
      </w:r>
      <w:r>
        <w:rPr>
          <w:rFonts w:hint="eastAsia" w:ascii="仿宋_GB2312" w:hAnsi="Times New Roman" w:eastAsia="仿宋_GB2312" w:cs="Wingdings"/>
          <w:color w:val="auto"/>
          <w:sz w:val="32"/>
          <w:szCs w:val="32"/>
          <w:lang w:val="en-US" w:eastAsia="zh-CN"/>
        </w:rPr>
        <w:t>6.54</w:t>
      </w:r>
      <w:r>
        <w:rPr>
          <w:rFonts w:hint="eastAsia" w:ascii="仿宋_GB2312" w:hAnsi="Times New Roman" w:eastAsia="仿宋_GB2312" w:cs="Wingdings"/>
          <w:color w:val="auto"/>
          <w:sz w:val="32"/>
          <w:szCs w:val="32"/>
        </w:rPr>
        <w:t>%；项目支出12469.24万元，占</w:t>
      </w:r>
      <w:r>
        <w:rPr>
          <w:rFonts w:hint="eastAsia" w:ascii="仿宋_GB2312" w:hAnsi="Times New Roman" w:eastAsia="仿宋_GB2312" w:cs="Wingdings"/>
          <w:color w:val="auto"/>
          <w:sz w:val="32"/>
          <w:szCs w:val="32"/>
          <w:lang w:val="en-US" w:eastAsia="zh-CN"/>
        </w:rPr>
        <w:t>93.46</w:t>
      </w:r>
      <w:r>
        <w:rPr>
          <w:rFonts w:hint="eastAsia" w:ascii="仿宋_GB2312" w:hAnsi="Times New Roman" w:eastAsia="仿宋_GB2312" w:cs="Wingdings"/>
          <w:color w:val="auto"/>
          <w:sz w:val="32"/>
          <w:szCs w:val="32"/>
        </w:rPr>
        <w:t>%；上缴上级支出</w:t>
      </w:r>
      <w:r>
        <w:rPr>
          <w:rFonts w:hint="eastAsia" w:ascii="仿宋_GB2312" w:hAnsi="Times New Roman" w:eastAsia="仿宋_GB2312" w:cs="Wingdings"/>
          <w:color w:val="auto"/>
          <w:sz w:val="32"/>
          <w:szCs w:val="32"/>
          <w:lang w:val="en-US" w:eastAsia="zh-CN"/>
        </w:rPr>
        <w:t>0</w:t>
      </w:r>
      <w:r>
        <w:rPr>
          <w:rFonts w:hint="eastAsia" w:ascii="仿宋_GB2312" w:hAnsi="Times New Roman" w:eastAsia="仿宋_GB2312" w:cs="Wingdings"/>
          <w:color w:val="auto"/>
          <w:sz w:val="32"/>
          <w:szCs w:val="32"/>
        </w:rPr>
        <w:t>万元，占</w:t>
      </w:r>
      <w:r>
        <w:rPr>
          <w:rFonts w:hint="eastAsia" w:ascii="仿宋_GB2312" w:hAnsi="Times New Roman" w:eastAsia="仿宋_GB2312" w:cs="Wingdings"/>
          <w:color w:val="auto"/>
          <w:sz w:val="32"/>
          <w:szCs w:val="32"/>
          <w:lang w:val="en-US" w:eastAsia="zh-CN"/>
        </w:rPr>
        <w:t>0</w:t>
      </w:r>
      <w:r>
        <w:rPr>
          <w:rFonts w:hint="eastAsia" w:ascii="仿宋_GB2312" w:hAnsi="Times New Roman" w:eastAsia="仿宋_GB2312" w:cs="Wingdings"/>
          <w:color w:val="auto"/>
          <w:sz w:val="32"/>
          <w:szCs w:val="32"/>
        </w:rPr>
        <w:t>%；经营支出</w:t>
      </w:r>
      <w:r>
        <w:rPr>
          <w:rFonts w:hint="eastAsia" w:ascii="仿宋_GB2312" w:hAnsi="Times New Roman" w:eastAsia="仿宋_GB2312" w:cs="Wingdings"/>
          <w:color w:val="auto"/>
          <w:sz w:val="32"/>
          <w:szCs w:val="32"/>
          <w:lang w:val="en-US" w:eastAsia="zh-CN"/>
        </w:rPr>
        <w:t>0</w:t>
      </w:r>
      <w:r>
        <w:rPr>
          <w:rFonts w:hint="eastAsia" w:ascii="仿宋_GB2312" w:hAnsi="Times New Roman" w:eastAsia="仿宋_GB2312" w:cs="Wingdings"/>
          <w:color w:val="auto"/>
          <w:sz w:val="32"/>
          <w:szCs w:val="32"/>
        </w:rPr>
        <w:t>万元，占</w:t>
      </w:r>
      <w:r>
        <w:rPr>
          <w:rFonts w:hint="eastAsia" w:ascii="仿宋_GB2312" w:hAnsi="Times New Roman" w:eastAsia="仿宋_GB2312" w:cs="Wingdings"/>
          <w:color w:val="auto"/>
          <w:sz w:val="32"/>
          <w:szCs w:val="32"/>
          <w:lang w:val="en-US" w:eastAsia="zh-CN"/>
        </w:rPr>
        <w:t>0</w:t>
      </w:r>
      <w:r>
        <w:rPr>
          <w:rFonts w:hint="eastAsia" w:ascii="仿宋_GB2312" w:hAnsi="Times New Roman" w:eastAsia="仿宋_GB2312" w:cs="Wingdings"/>
          <w:color w:val="auto"/>
          <w:sz w:val="32"/>
          <w:szCs w:val="32"/>
        </w:rPr>
        <w:t>%；对附属单位补助支出</w:t>
      </w:r>
      <w:r>
        <w:rPr>
          <w:rFonts w:hint="eastAsia" w:ascii="仿宋_GB2312" w:hAnsi="Times New Roman" w:eastAsia="仿宋_GB2312" w:cs="Wingdings"/>
          <w:color w:val="auto"/>
          <w:sz w:val="32"/>
          <w:szCs w:val="32"/>
          <w:lang w:val="en-US" w:eastAsia="zh-CN"/>
        </w:rPr>
        <w:t>0</w:t>
      </w:r>
      <w:r>
        <w:rPr>
          <w:rFonts w:hint="eastAsia" w:ascii="仿宋_GB2312" w:hAnsi="Times New Roman" w:eastAsia="仿宋_GB2312" w:cs="Wingdings"/>
          <w:color w:val="auto"/>
          <w:sz w:val="32"/>
          <w:szCs w:val="32"/>
        </w:rPr>
        <w:t>万元，占</w:t>
      </w:r>
      <w:r>
        <w:rPr>
          <w:rFonts w:hint="eastAsia" w:ascii="仿宋_GB2312" w:hAnsi="Times New Roman" w:eastAsia="仿宋_GB2312" w:cs="Wingdings"/>
          <w:color w:val="auto"/>
          <w:sz w:val="32"/>
          <w:szCs w:val="32"/>
          <w:lang w:val="en-US" w:eastAsia="zh-CN"/>
        </w:rPr>
        <w:t>0</w:t>
      </w:r>
      <w:r>
        <w:rPr>
          <w:rFonts w:hint="eastAsia" w:ascii="仿宋_GB2312" w:hAnsi="Times New Roman" w:eastAsia="仿宋_GB2312" w:cs="Wingdings"/>
          <w:color w:val="auto"/>
          <w:sz w:val="32"/>
          <w:szCs w:val="32"/>
        </w:rPr>
        <w:t>%。如图所示：</w:t>
      </w:r>
    </w:p>
    <w:p>
      <w:pPr>
        <w:adjustRightInd w:val="0"/>
        <w:snapToGrid w:val="0"/>
        <w:spacing w:line="600" w:lineRule="exact"/>
        <w:ind w:firstLine="640" w:firstLineChars="200"/>
        <w:rPr>
          <w:rFonts w:hint="eastAsia" w:ascii="仿宋_GB2312" w:hAnsi="Times New Roman" w:eastAsia="仿宋_GB2312" w:cs="Wingdings"/>
          <w:color w:val="00B050"/>
          <w:sz w:val="32"/>
          <w:szCs w:val="32"/>
        </w:rPr>
      </w:pPr>
    </w:p>
    <w:p>
      <w:pPr>
        <w:adjustRightInd w:val="0"/>
        <w:snapToGrid w:val="0"/>
        <w:spacing w:line="600" w:lineRule="exact"/>
        <w:ind w:firstLine="640" w:firstLineChars="200"/>
        <w:rPr>
          <w:rFonts w:hint="eastAsia" w:ascii="仿宋_GB2312" w:hAnsi="Times New Roman" w:eastAsia="仿宋_GB2312" w:cs="Wingdings"/>
          <w:color w:val="00B050"/>
          <w:sz w:val="32"/>
          <w:szCs w:val="32"/>
        </w:rPr>
      </w:pPr>
    </w:p>
    <w:p>
      <w:pPr>
        <w:adjustRightInd w:val="0"/>
        <w:snapToGrid w:val="0"/>
        <w:spacing w:line="600" w:lineRule="exact"/>
        <w:ind w:firstLine="640" w:firstLineChars="200"/>
        <w:rPr>
          <w:rFonts w:hint="eastAsia" w:ascii="仿宋_GB2312" w:hAnsi="Times New Roman" w:eastAsia="仿宋_GB2312" w:cs="Wingdings"/>
          <w:color w:val="00B050"/>
          <w:sz w:val="32"/>
          <w:szCs w:val="32"/>
        </w:rPr>
      </w:pPr>
    </w:p>
    <w:p>
      <w:pPr>
        <w:adjustRightInd w:val="0"/>
        <w:snapToGrid w:val="0"/>
        <w:spacing w:line="600" w:lineRule="exact"/>
        <w:ind w:firstLine="640" w:firstLineChars="200"/>
        <w:rPr>
          <w:rFonts w:hint="eastAsia" w:ascii="仿宋_GB2312" w:hAnsi="Times New Roman" w:eastAsia="仿宋_GB2312" w:cs="Wingdings"/>
          <w:color w:val="00B050"/>
          <w:sz w:val="32"/>
          <w:szCs w:val="32"/>
        </w:rPr>
      </w:pPr>
    </w:p>
    <w:p>
      <w:pPr>
        <w:adjustRightInd w:val="0"/>
        <w:snapToGrid w:val="0"/>
        <w:spacing w:line="600" w:lineRule="exact"/>
        <w:ind w:firstLine="640" w:firstLineChars="200"/>
        <w:rPr>
          <w:rFonts w:hint="eastAsia" w:ascii="仿宋_GB2312" w:hAnsi="Times New Roman" w:eastAsia="仿宋_GB2312" w:cs="Wingdings"/>
          <w:color w:val="00B050"/>
          <w:sz w:val="32"/>
          <w:szCs w:val="32"/>
        </w:rPr>
      </w:pPr>
    </w:p>
    <w:p>
      <w:pPr>
        <w:adjustRightInd w:val="0"/>
        <w:snapToGrid w:val="0"/>
        <w:spacing w:line="600" w:lineRule="exact"/>
        <w:ind w:firstLine="640" w:firstLineChars="200"/>
        <w:rPr>
          <w:rFonts w:hint="eastAsia" w:ascii="仿宋_GB2312" w:hAnsi="Times New Roman" w:eastAsia="仿宋_GB2312" w:cs="Wingdings"/>
          <w:color w:val="00B050"/>
          <w:sz w:val="32"/>
          <w:szCs w:val="32"/>
        </w:rPr>
      </w:pPr>
    </w:p>
    <w:p>
      <w:pPr>
        <w:adjustRightInd w:val="0"/>
        <w:snapToGrid w:val="0"/>
        <w:spacing w:line="600" w:lineRule="exact"/>
        <w:ind w:firstLine="640" w:firstLineChars="200"/>
        <w:rPr>
          <w:rFonts w:hint="eastAsia" w:ascii="仿宋_GB2312" w:hAnsi="Times New Roman" w:eastAsia="仿宋_GB2312" w:cs="Wingdings"/>
          <w:color w:val="00B050"/>
          <w:sz w:val="32"/>
          <w:szCs w:val="32"/>
        </w:rPr>
      </w:pPr>
    </w:p>
    <w:p>
      <w:pPr>
        <w:adjustRightInd w:val="0"/>
        <w:snapToGrid w:val="0"/>
        <w:spacing w:line="600" w:lineRule="exact"/>
        <w:ind w:firstLine="640" w:firstLineChars="200"/>
        <w:rPr>
          <w:rFonts w:hint="eastAsia" w:ascii="仿宋_GB2312" w:hAnsi="Times New Roman" w:eastAsia="仿宋_GB2312" w:cs="Wingdings"/>
          <w:color w:val="00B050"/>
          <w:sz w:val="32"/>
          <w:szCs w:val="32"/>
        </w:rPr>
      </w:pPr>
      <w:r>
        <w:rPr>
          <w:rFonts w:hint="eastAsia" w:ascii="仿宋_GB2312" w:hAnsi="Times New Roman" w:eastAsia="仿宋_GB2312" w:cs="Wingdings"/>
          <w:color w:val="auto"/>
          <w:sz w:val="32"/>
          <w:szCs w:val="32"/>
          <w:lang w:eastAsia="zh-CN"/>
        </w:rPr>
        <w:drawing>
          <wp:anchor distT="0" distB="0" distL="114300" distR="114300" simplePos="0" relativeHeight="251668480" behindDoc="1" locked="0" layoutInCell="1" allowOverlap="1">
            <wp:simplePos x="0" y="0"/>
            <wp:positionH relativeFrom="column">
              <wp:posOffset>410845</wp:posOffset>
            </wp:positionH>
            <wp:positionV relativeFrom="paragraph">
              <wp:posOffset>-2147570</wp:posOffset>
            </wp:positionV>
            <wp:extent cx="4784090" cy="2439670"/>
            <wp:effectExtent l="4445" t="5080" r="12065" b="12700"/>
            <wp:wrapNone/>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keepNext/>
        <w:keepLines/>
        <w:snapToGrid w:val="0"/>
        <w:spacing w:line="600" w:lineRule="exact"/>
        <w:ind w:firstLine="640" w:firstLineChars="200"/>
        <w:outlineLvl w:val="1"/>
        <w:rPr>
          <w:rFonts w:ascii="黑体" w:hAnsi="Calibri" w:eastAsia="黑体" w:cs="Times New Roman"/>
          <w:color w:val="auto"/>
          <w:sz w:val="32"/>
          <w:szCs w:val="32"/>
        </w:rPr>
      </w:pPr>
      <w:r>
        <w:rPr>
          <w:rFonts w:hint="eastAsia" w:ascii="黑体" w:hAnsi="Calibri" w:eastAsia="黑体" w:cs="Times New Roman"/>
          <w:color w:val="auto"/>
          <w:sz w:val="32"/>
          <w:szCs w:val="32"/>
        </w:rPr>
        <w:t>四、</w:t>
      </w:r>
      <w:r>
        <w:rPr>
          <w:rFonts w:hint="eastAsia" w:ascii="黑体" w:hAnsi="Cambria" w:eastAsia="黑体" w:cs="黑体"/>
          <w:color w:val="auto"/>
          <w:kern w:val="0"/>
          <w:sz w:val="32"/>
          <w:szCs w:val="32"/>
        </w:rPr>
        <w:t>财政</w:t>
      </w:r>
      <w:r>
        <w:rPr>
          <w:rFonts w:hint="eastAsia" w:ascii="黑体" w:hAnsi="Calibri" w:eastAsia="黑体" w:cs="Times New Roman"/>
          <w:color w:val="auto"/>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color w:val="auto"/>
          <w:sz w:val="32"/>
          <w:szCs w:val="32"/>
        </w:rPr>
      </w:pPr>
      <w:r>
        <w:rPr>
          <w:rFonts w:hint="eastAsia" w:ascii="楷体_GB2312" w:hAnsi="Times New Roman" w:eastAsia="楷体_GB2312" w:cs="Mongolian Baiti"/>
          <w:b/>
          <w:bCs/>
          <w:color w:val="auto"/>
          <w:sz w:val="32"/>
          <w:szCs w:val="32"/>
        </w:rPr>
        <w:t>（一）财政拨款收支与2019年度决算对比情况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color w:val="auto"/>
          <w:sz w:val="32"/>
          <w:szCs w:val="32"/>
        </w:rPr>
        <w:t>本部门2020年度财政拨款本年收入13562.02万元,比2019年度增加</w:t>
      </w:r>
      <w:r>
        <w:rPr>
          <w:rFonts w:hint="eastAsia" w:ascii="仿宋_GB2312" w:hAnsi="Times New Roman" w:eastAsia="仿宋_GB2312" w:cs="Wingdings"/>
          <w:color w:val="auto"/>
          <w:sz w:val="32"/>
          <w:szCs w:val="32"/>
          <w:lang w:val="en-US" w:eastAsia="zh-CN"/>
        </w:rPr>
        <w:t>3919.87</w:t>
      </w:r>
      <w:r>
        <w:rPr>
          <w:rFonts w:hint="eastAsia" w:ascii="仿宋_GB2312" w:hAnsi="Times New Roman" w:eastAsia="仿宋_GB2312" w:cs="Wingdings"/>
          <w:color w:val="auto"/>
          <w:sz w:val="32"/>
          <w:szCs w:val="32"/>
        </w:rPr>
        <w:t>万元，增长</w:t>
      </w:r>
      <w:r>
        <w:rPr>
          <w:rFonts w:hint="eastAsia" w:ascii="仿宋_GB2312" w:hAnsi="Times New Roman" w:eastAsia="仿宋_GB2312" w:cs="Wingdings"/>
          <w:color w:val="auto"/>
          <w:sz w:val="32"/>
          <w:szCs w:val="32"/>
          <w:lang w:val="en-US" w:eastAsia="zh-CN"/>
        </w:rPr>
        <w:t>40.65</w:t>
      </w:r>
      <w:r>
        <w:rPr>
          <w:rFonts w:hint="eastAsia" w:ascii="仿宋_GB2312" w:hAnsi="Times New Roman" w:eastAsia="仿宋_GB2312" w:cs="Wingdings"/>
          <w:color w:val="auto"/>
          <w:sz w:val="32"/>
          <w:szCs w:val="32"/>
        </w:rPr>
        <w:t>%，主要是</w:t>
      </w:r>
      <w:r>
        <w:rPr>
          <w:rFonts w:hint="eastAsia" w:ascii="仿宋_GB2312" w:hAnsi="Times New Roman" w:eastAsia="仿宋_GB2312" w:cs="Wingdings"/>
          <w:color w:val="auto"/>
          <w:sz w:val="32"/>
          <w:szCs w:val="32"/>
          <w:lang w:eastAsia="zh-CN"/>
        </w:rPr>
        <w:t>机关事</w:t>
      </w:r>
      <w:r>
        <w:rPr>
          <w:rFonts w:hint="eastAsia" w:ascii="仿宋_GB2312" w:hAnsi="Times New Roman" w:eastAsia="仿宋_GB2312" w:cs="Wingdings"/>
          <w:sz w:val="32"/>
          <w:szCs w:val="32"/>
          <w:lang w:eastAsia="zh-CN"/>
        </w:rPr>
        <w:t>业单位基本养老保险补助、行政单位离退休、行政事业单位养老支出、企业职工基本养老保险基金的补助支出纳入部门决算，收入增加</w:t>
      </w:r>
      <w:r>
        <w:rPr>
          <w:rFonts w:hint="eastAsia" w:ascii="仿宋_GB2312" w:hAnsi="Times New Roman" w:eastAsia="仿宋_GB2312" w:cs="Wingdings"/>
          <w:sz w:val="32"/>
          <w:szCs w:val="32"/>
        </w:rPr>
        <w:t>；</w:t>
      </w:r>
      <w:r>
        <w:rPr>
          <w:rFonts w:hint="eastAsia" w:ascii="仿宋_GB2312" w:hAnsi="Times New Roman" w:eastAsia="仿宋_GB2312" w:cs="Wingdings"/>
          <w:color w:val="auto"/>
          <w:sz w:val="32"/>
          <w:szCs w:val="32"/>
        </w:rPr>
        <w:t>本年支出13277.97万元，增加3422.22万元，增长</w:t>
      </w:r>
      <w:r>
        <w:rPr>
          <w:rFonts w:hint="eastAsia" w:ascii="仿宋_GB2312" w:hAnsi="Times New Roman" w:eastAsia="仿宋_GB2312" w:cs="Wingdings"/>
          <w:color w:val="auto"/>
          <w:sz w:val="32"/>
          <w:szCs w:val="32"/>
          <w:lang w:val="en-US" w:eastAsia="zh-CN"/>
        </w:rPr>
        <w:t>34.72</w:t>
      </w:r>
      <w:r>
        <w:rPr>
          <w:rFonts w:hint="eastAsia" w:ascii="仿宋_GB2312" w:hAnsi="Times New Roman" w:eastAsia="仿宋_GB2312" w:cs="Wingdings"/>
          <w:color w:val="auto"/>
          <w:sz w:val="32"/>
          <w:szCs w:val="32"/>
        </w:rPr>
        <w:t>%，</w:t>
      </w:r>
      <w:r>
        <w:rPr>
          <w:rFonts w:hint="eastAsia" w:ascii="仿宋_GB2312" w:hAnsi="Times New Roman" w:eastAsia="仿宋_GB2312" w:cs="Wingdings"/>
          <w:sz w:val="32"/>
          <w:szCs w:val="32"/>
        </w:rPr>
        <w:t>主要是</w:t>
      </w:r>
      <w:r>
        <w:rPr>
          <w:rFonts w:hint="eastAsia" w:ascii="仿宋_GB2312" w:hAnsi="Times New Roman" w:eastAsia="仿宋_GB2312" w:cs="Wingdings"/>
          <w:color w:val="auto"/>
          <w:sz w:val="32"/>
          <w:szCs w:val="32"/>
          <w:lang w:eastAsia="zh-CN"/>
        </w:rPr>
        <w:t>机关事</w:t>
      </w:r>
      <w:r>
        <w:rPr>
          <w:rFonts w:hint="eastAsia" w:ascii="仿宋_GB2312" w:hAnsi="Times New Roman" w:eastAsia="仿宋_GB2312" w:cs="Wingdings"/>
          <w:sz w:val="32"/>
          <w:szCs w:val="32"/>
          <w:lang w:eastAsia="zh-CN"/>
        </w:rPr>
        <w:t>业单位基本养老保险补助、行政单位离退休、行政事业单位养老支出、企业职工基本养老保险基金的补助支出纳入部门决算，支出增加</w:t>
      </w:r>
      <w:r>
        <w:rPr>
          <w:rFonts w:hint="eastAsia" w:ascii="仿宋_GB2312" w:hAnsi="Times New Roman" w:eastAsia="仿宋_GB2312" w:cs="Wingdings"/>
          <w:sz w:val="32"/>
          <w:szCs w:val="32"/>
        </w:rPr>
        <w:t>。具体情况如下：</w:t>
      </w:r>
    </w:p>
    <w:p>
      <w:pPr>
        <w:numPr>
          <w:ilvl w:val="0"/>
          <w:numId w:val="1"/>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color w:val="auto"/>
          <w:sz w:val="32"/>
          <w:szCs w:val="32"/>
        </w:rPr>
        <w:t>一般公共预算财政拨款本年收入13512.02万元，比上年增加3869.87万元；</w:t>
      </w:r>
      <w:r>
        <w:rPr>
          <w:rFonts w:hint="eastAsia" w:ascii="仿宋_GB2312" w:hAnsi="Times New Roman" w:eastAsia="仿宋_GB2312" w:cs="Wingdings"/>
          <w:sz w:val="32"/>
          <w:szCs w:val="32"/>
        </w:rPr>
        <w:t>主要是</w:t>
      </w:r>
      <w:r>
        <w:rPr>
          <w:rFonts w:hint="eastAsia" w:ascii="仿宋_GB2312" w:hAnsi="Times New Roman" w:eastAsia="仿宋_GB2312" w:cs="Wingdings"/>
          <w:color w:val="auto"/>
          <w:sz w:val="32"/>
          <w:szCs w:val="32"/>
          <w:lang w:eastAsia="zh-CN"/>
        </w:rPr>
        <w:t>机关事</w:t>
      </w:r>
      <w:r>
        <w:rPr>
          <w:rFonts w:hint="eastAsia" w:ascii="仿宋_GB2312" w:hAnsi="Times New Roman" w:eastAsia="仿宋_GB2312" w:cs="Wingdings"/>
          <w:sz w:val="32"/>
          <w:szCs w:val="32"/>
          <w:lang w:eastAsia="zh-CN"/>
        </w:rPr>
        <w:t>业单位基本养老保险补助、行政单位离退休、行政事业单位养老支出、企业职工基本养老保险基金的补助支出纳入部门决算，收入增加</w:t>
      </w:r>
      <w:r>
        <w:rPr>
          <w:rFonts w:hint="eastAsia" w:ascii="仿宋_GB2312" w:hAnsi="Times New Roman" w:eastAsia="仿宋_GB2312" w:cs="Wingdings"/>
          <w:sz w:val="32"/>
          <w:szCs w:val="32"/>
        </w:rPr>
        <w:t>；</w:t>
      </w:r>
      <w:r>
        <w:rPr>
          <w:rFonts w:hint="eastAsia" w:ascii="仿宋_GB2312" w:hAnsi="Times New Roman" w:eastAsia="仿宋_GB2312" w:cs="Wingdings"/>
          <w:color w:val="auto"/>
          <w:sz w:val="32"/>
          <w:szCs w:val="32"/>
        </w:rPr>
        <w:t>本年支出13230.66万元，比上年增加3374.91万元，增长</w:t>
      </w:r>
      <w:r>
        <w:rPr>
          <w:rFonts w:hint="eastAsia" w:ascii="仿宋_GB2312" w:hAnsi="Times New Roman" w:eastAsia="仿宋_GB2312" w:cs="Wingdings"/>
          <w:color w:val="auto"/>
          <w:sz w:val="32"/>
          <w:szCs w:val="32"/>
          <w:lang w:val="en-US" w:eastAsia="zh-CN"/>
        </w:rPr>
        <w:t>34.24</w:t>
      </w:r>
      <w:r>
        <w:rPr>
          <w:rFonts w:hint="eastAsia" w:ascii="仿宋_GB2312" w:hAnsi="Times New Roman" w:eastAsia="仿宋_GB2312" w:cs="Wingdings"/>
          <w:color w:val="auto"/>
          <w:sz w:val="32"/>
          <w:szCs w:val="32"/>
        </w:rPr>
        <w:t>%，</w:t>
      </w:r>
      <w:r>
        <w:rPr>
          <w:rFonts w:hint="eastAsia" w:ascii="仿宋_GB2312" w:hAnsi="Times New Roman" w:eastAsia="仿宋_GB2312" w:cs="Wingdings"/>
          <w:sz w:val="32"/>
          <w:szCs w:val="32"/>
        </w:rPr>
        <w:t>主要是</w:t>
      </w:r>
      <w:r>
        <w:rPr>
          <w:rFonts w:hint="eastAsia" w:ascii="仿宋_GB2312" w:hAnsi="Times New Roman" w:eastAsia="仿宋_GB2312" w:cs="Wingdings"/>
          <w:color w:val="auto"/>
          <w:sz w:val="32"/>
          <w:szCs w:val="32"/>
          <w:lang w:eastAsia="zh-CN"/>
        </w:rPr>
        <w:t>机关事</w:t>
      </w:r>
      <w:r>
        <w:rPr>
          <w:rFonts w:hint="eastAsia" w:ascii="仿宋_GB2312" w:hAnsi="Times New Roman" w:eastAsia="仿宋_GB2312" w:cs="Wingdings"/>
          <w:sz w:val="32"/>
          <w:szCs w:val="32"/>
          <w:lang w:eastAsia="zh-CN"/>
        </w:rPr>
        <w:t>业单位基本养老保险补助、行政单位离退休、行政事业单位养老支出、企业职工基本养老保险基金的补助支出纳入部门决算，支出增加</w:t>
      </w:r>
      <w:r>
        <w:rPr>
          <w:rFonts w:hint="eastAsia" w:ascii="仿宋_GB2312" w:hAnsi="Times New Roman" w:eastAsia="仿宋_GB2312" w:cs="Wingdings"/>
          <w:sz w:val="32"/>
          <w:szCs w:val="32"/>
        </w:rPr>
        <w:t>。</w:t>
      </w:r>
    </w:p>
    <w:p>
      <w:pPr>
        <w:numPr>
          <w:ilvl w:val="0"/>
          <w:numId w:val="1"/>
        </w:numPr>
        <w:adjustRightInd w:val="0"/>
        <w:snapToGrid w:val="0"/>
        <w:spacing w:line="600" w:lineRule="exact"/>
        <w:ind w:firstLine="640" w:firstLineChars="200"/>
        <w:rPr>
          <w:rFonts w:ascii="仿宋_GB2312" w:hAnsi="Times New Roman" w:eastAsia="仿宋_GB2312" w:cs="Wingdings"/>
          <w:color w:val="auto"/>
          <w:sz w:val="32"/>
          <w:szCs w:val="32"/>
        </w:rPr>
      </w:pPr>
      <w:r>
        <w:rPr>
          <w:rFonts w:hint="eastAsia" w:ascii="仿宋_GB2312" w:hAnsi="Times New Roman" w:eastAsia="仿宋_GB2312" w:cs="Wingdings"/>
          <w:color w:val="auto"/>
          <w:sz w:val="32"/>
          <w:szCs w:val="32"/>
        </w:rPr>
        <w:t>政府性基金预算财政拨款本年收入</w:t>
      </w:r>
      <w:r>
        <w:rPr>
          <w:rFonts w:hint="eastAsia" w:ascii="仿宋_GB2312" w:hAnsi="Times New Roman" w:eastAsia="仿宋_GB2312" w:cs="Wingdings"/>
          <w:color w:val="auto"/>
          <w:sz w:val="32"/>
          <w:szCs w:val="32"/>
          <w:lang w:val="en-US" w:eastAsia="zh-CN"/>
        </w:rPr>
        <w:t>50</w:t>
      </w:r>
      <w:r>
        <w:rPr>
          <w:rFonts w:hint="eastAsia" w:ascii="仿宋_GB2312" w:hAnsi="Times New Roman" w:eastAsia="仿宋_GB2312" w:cs="Wingdings"/>
          <w:color w:val="auto"/>
          <w:sz w:val="32"/>
          <w:szCs w:val="32"/>
        </w:rPr>
        <w:t>万元，比上年增加</w:t>
      </w:r>
      <w:r>
        <w:rPr>
          <w:rFonts w:hint="eastAsia" w:ascii="仿宋_GB2312" w:hAnsi="Times New Roman" w:eastAsia="仿宋_GB2312" w:cs="Wingdings"/>
          <w:color w:val="auto"/>
          <w:sz w:val="32"/>
          <w:szCs w:val="32"/>
          <w:lang w:val="en-US" w:eastAsia="zh-CN"/>
        </w:rPr>
        <w:t>50</w:t>
      </w:r>
      <w:r>
        <w:rPr>
          <w:rFonts w:hint="eastAsia" w:ascii="仿宋_GB2312" w:hAnsi="Times New Roman" w:eastAsia="仿宋_GB2312" w:cs="Wingdings"/>
          <w:color w:val="auto"/>
          <w:sz w:val="32"/>
          <w:szCs w:val="32"/>
        </w:rPr>
        <w:t>万元，增长</w:t>
      </w:r>
      <w:r>
        <w:rPr>
          <w:rFonts w:hint="eastAsia" w:ascii="仿宋_GB2312" w:hAnsi="Times New Roman" w:eastAsia="仿宋_GB2312" w:cs="Wingdings"/>
          <w:color w:val="auto"/>
          <w:sz w:val="32"/>
          <w:szCs w:val="32"/>
          <w:lang w:val="en-US" w:eastAsia="zh-CN"/>
        </w:rPr>
        <w:t>--</w:t>
      </w:r>
      <w:r>
        <w:rPr>
          <w:rFonts w:hint="eastAsia" w:ascii="仿宋_GB2312" w:hAnsi="Times New Roman" w:eastAsia="仿宋_GB2312" w:cs="Wingdings"/>
          <w:color w:val="auto"/>
          <w:sz w:val="32"/>
          <w:szCs w:val="32"/>
        </w:rPr>
        <w:t>%，主要是加大</w:t>
      </w:r>
      <w:r>
        <w:rPr>
          <w:rFonts w:hint="eastAsia" w:ascii="仿宋_GB2312" w:hAnsi="Times New Roman" w:eastAsia="仿宋_GB2312" w:cs="Wingdings"/>
          <w:color w:val="auto"/>
          <w:sz w:val="32"/>
          <w:szCs w:val="32"/>
          <w:lang w:eastAsia="zh-CN"/>
        </w:rPr>
        <w:t>了</w:t>
      </w:r>
      <w:r>
        <w:rPr>
          <w:rFonts w:hint="eastAsia" w:ascii="仿宋_GB2312" w:hAnsi="Times New Roman" w:eastAsia="仿宋_GB2312" w:cs="Wingdings"/>
          <w:color w:val="auto"/>
          <w:sz w:val="32"/>
          <w:szCs w:val="32"/>
        </w:rPr>
        <w:t>创业工作扶持力度，创业贴息</w:t>
      </w:r>
      <w:r>
        <w:rPr>
          <w:rFonts w:hint="eastAsia" w:ascii="仿宋_GB2312" w:hAnsi="Times New Roman" w:eastAsia="仿宋_GB2312" w:cs="Wingdings"/>
          <w:color w:val="auto"/>
          <w:sz w:val="32"/>
          <w:szCs w:val="32"/>
          <w:lang w:eastAsia="zh-CN"/>
        </w:rPr>
        <w:t>收支增加</w:t>
      </w:r>
      <w:r>
        <w:rPr>
          <w:rFonts w:hint="eastAsia" w:ascii="仿宋_GB2312" w:hAnsi="Times New Roman" w:eastAsia="仿宋_GB2312" w:cs="Wingdings"/>
          <w:color w:val="auto"/>
          <w:sz w:val="32"/>
          <w:szCs w:val="32"/>
        </w:rPr>
        <w:t>；本年支出</w:t>
      </w:r>
      <w:r>
        <w:rPr>
          <w:rFonts w:hint="eastAsia" w:ascii="仿宋_GB2312" w:hAnsi="Times New Roman" w:eastAsia="仿宋_GB2312" w:cs="Wingdings"/>
          <w:color w:val="auto"/>
          <w:sz w:val="32"/>
          <w:szCs w:val="32"/>
          <w:lang w:val="en-US" w:eastAsia="zh-CN"/>
        </w:rPr>
        <w:t>47.31</w:t>
      </w:r>
      <w:r>
        <w:rPr>
          <w:rFonts w:hint="eastAsia" w:ascii="仿宋_GB2312" w:hAnsi="Times New Roman" w:eastAsia="仿宋_GB2312" w:cs="Wingdings"/>
          <w:color w:val="auto"/>
          <w:sz w:val="32"/>
          <w:szCs w:val="32"/>
        </w:rPr>
        <w:t>万元，比上年增加</w:t>
      </w:r>
      <w:r>
        <w:rPr>
          <w:rFonts w:hint="eastAsia" w:ascii="仿宋_GB2312" w:hAnsi="Times New Roman" w:eastAsia="仿宋_GB2312" w:cs="Wingdings"/>
          <w:color w:val="auto"/>
          <w:sz w:val="32"/>
          <w:szCs w:val="32"/>
          <w:lang w:val="en-US" w:eastAsia="zh-CN"/>
        </w:rPr>
        <w:t>47.31</w:t>
      </w:r>
      <w:r>
        <w:rPr>
          <w:rFonts w:hint="eastAsia" w:ascii="仿宋_GB2312" w:hAnsi="Times New Roman" w:eastAsia="仿宋_GB2312" w:cs="Wingdings"/>
          <w:color w:val="auto"/>
          <w:sz w:val="32"/>
          <w:szCs w:val="32"/>
        </w:rPr>
        <w:t>万元，增长</w:t>
      </w:r>
      <w:r>
        <w:rPr>
          <w:rFonts w:hint="eastAsia" w:ascii="仿宋_GB2312" w:hAnsi="Times New Roman" w:eastAsia="仿宋_GB2312" w:cs="Wingdings"/>
          <w:color w:val="auto"/>
          <w:sz w:val="32"/>
          <w:szCs w:val="32"/>
          <w:lang w:val="en-US" w:eastAsia="zh-CN"/>
        </w:rPr>
        <w:t>--</w:t>
      </w:r>
      <w:r>
        <w:rPr>
          <w:rFonts w:hint="eastAsia" w:ascii="仿宋_GB2312" w:hAnsi="Times New Roman" w:eastAsia="仿宋_GB2312" w:cs="Wingdings"/>
          <w:color w:val="auto"/>
          <w:sz w:val="32"/>
          <w:szCs w:val="32"/>
        </w:rPr>
        <w:t>%，主要是加大</w:t>
      </w:r>
      <w:r>
        <w:rPr>
          <w:rFonts w:hint="eastAsia" w:ascii="仿宋_GB2312" w:hAnsi="Times New Roman" w:eastAsia="仿宋_GB2312" w:cs="Wingdings"/>
          <w:color w:val="auto"/>
          <w:sz w:val="32"/>
          <w:szCs w:val="32"/>
          <w:lang w:eastAsia="zh-CN"/>
        </w:rPr>
        <w:t>了</w:t>
      </w:r>
      <w:r>
        <w:rPr>
          <w:rFonts w:hint="eastAsia" w:ascii="仿宋_GB2312" w:hAnsi="Times New Roman" w:eastAsia="仿宋_GB2312" w:cs="Wingdings"/>
          <w:color w:val="auto"/>
          <w:sz w:val="32"/>
          <w:szCs w:val="32"/>
        </w:rPr>
        <w:t>创业工作扶持力度，创业贴息</w:t>
      </w:r>
      <w:r>
        <w:rPr>
          <w:rFonts w:hint="eastAsia" w:ascii="仿宋_GB2312" w:hAnsi="Times New Roman" w:eastAsia="仿宋_GB2312" w:cs="Wingdings"/>
          <w:color w:val="auto"/>
          <w:sz w:val="32"/>
          <w:szCs w:val="32"/>
          <w:lang w:eastAsia="zh-CN"/>
        </w:rPr>
        <w:t>收支增加。</w:t>
      </w:r>
    </w:p>
    <w:p>
      <w:pPr>
        <w:snapToGrid w:val="0"/>
        <w:spacing w:line="600" w:lineRule="exact"/>
        <w:ind w:firstLine="643" w:firstLineChars="200"/>
        <w:rPr>
          <w:rFonts w:hint="eastAsia" w:ascii="楷体_GB2312" w:hAnsi="Times New Roman" w:eastAsia="楷体_GB2312" w:cs="Mongolian Baiti"/>
          <w:b/>
          <w:bCs/>
          <w:color w:val="00B050"/>
          <w:sz w:val="32"/>
          <w:szCs w:val="32"/>
        </w:rPr>
      </w:pPr>
    </w:p>
    <w:p>
      <w:pPr>
        <w:snapToGrid w:val="0"/>
        <w:spacing w:line="600" w:lineRule="exact"/>
        <w:ind w:firstLine="643" w:firstLineChars="200"/>
        <w:rPr>
          <w:rFonts w:hint="eastAsia" w:ascii="楷体_GB2312" w:hAnsi="Times New Roman" w:eastAsia="楷体_GB2312" w:cs="Mongolian Baiti"/>
          <w:b/>
          <w:bCs/>
          <w:color w:val="00B050"/>
          <w:sz w:val="32"/>
          <w:szCs w:val="32"/>
        </w:rPr>
      </w:pPr>
    </w:p>
    <w:p>
      <w:pPr>
        <w:snapToGrid w:val="0"/>
        <w:spacing w:line="600" w:lineRule="exact"/>
        <w:ind w:firstLine="643" w:firstLineChars="200"/>
        <w:rPr>
          <w:rFonts w:hint="eastAsia" w:ascii="楷体_GB2312" w:hAnsi="Times New Roman" w:eastAsia="楷体_GB2312" w:cs="Mongolian Baiti"/>
          <w:b/>
          <w:bCs/>
          <w:color w:val="00B050"/>
          <w:sz w:val="32"/>
          <w:szCs w:val="32"/>
        </w:rPr>
      </w:pPr>
    </w:p>
    <w:p>
      <w:pPr>
        <w:snapToGrid w:val="0"/>
        <w:spacing w:line="600" w:lineRule="exact"/>
        <w:ind w:firstLine="643" w:firstLineChars="200"/>
        <w:rPr>
          <w:rFonts w:hint="eastAsia" w:ascii="楷体_GB2312" w:hAnsi="Times New Roman" w:eastAsia="楷体_GB2312" w:cs="Mongolian Baiti"/>
          <w:b/>
          <w:bCs/>
          <w:color w:val="00B050"/>
          <w:sz w:val="32"/>
          <w:szCs w:val="32"/>
        </w:rPr>
      </w:pPr>
    </w:p>
    <w:p>
      <w:pPr>
        <w:snapToGrid w:val="0"/>
        <w:spacing w:line="600" w:lineRule="exact"/>
        <w:ind w:firstLine="643" w:firstLineChars="200"/>
        <w:rPr>
          <w:rFonts w:hint="eastAsia" w:ascii="楷体_GB2312" w:hAnsi="Times New Roman" w:eastAsia="楷体_GB2312" w:cs="Mongolian Baiti"/>
          <w:b/>
          <w:bCs/>
          <w:color w:val="00B050"/>
          <w:sz w:val="32"/>
          <w:szCs w:val="32"/>
        </w:rPr>
      </w:pPr>
    </w:p>
    <w:p>
      <w:pPr>
        <w:snapToGrid w:val="0"/>
        <w:spacing w:line="600" w:lineRule="exact"/>
        <w:ind w:firstLine="643" w:firstLineChars="200"/>
        <w:rPr>
          <w:rFonts w:hint="eastAsia" w:ascii="楷体_GB2312" w:hAnsi="Times New Roman" w:eastAsia="楷体_GB2312" w:cs="Mongolian Baiti"/>
          <w:b/>
          <w:bCs/>
          <w:color w:val="00B050"/>
          <w:sz w:val="32"/>
          <w:szCs w:val="32"/>
        </w:rPr>
      </w:pPr>
    </w:p>
    <w:p>
      <w:pPr>
        <w:snapToGrid w:val="0"/>
        <w:spacing w:line="600" w:lineRule="exact"/>
        <w:ind w:firstLine="643" w:firstLineChars="200"/>
        <w:rPr>
          <w:rFonts w:hint="eastAsia" w:ascii="楷体_GB2312" w:hAnsi="Times New Roman" w:eastAsia="楷体_GB2312" w:cs="Mongolian Baiti"/>
          <w:b/>
          <w:bCs/>
          <w:color w:val="00B050"/>
          <w:sz w:val="32"/>
          <w:szCs w:val="32"/>
        </w:rPr>
      </w:pPr>
    </w:p>
    <w:p>
      <w:pPr>
        <w:snapToGrid w:val="0"/>
        <w:spacing w:line="600" w:lineRule="exact"/>
        <w:ind w:firstLine="643" w:firstLineChars="200"/>
        <w:rPr>
          <w:rFonts w:hint="eastAsia" w:ascii="楷体_GB2312" w:hAnsi="Times New Roman" w:eastAsia="楷体_GB2312" w:cs="Mongolian Baiti"/>
          <w:b/>
          <w:bCs/>
          <w:color w:val="00B050"/>
          <w:sz w:val="32"/>
          <w:szCs w:val="32"/>
        </w:rPr>
      </w:pPr>
    </w:p>
    <w:p>
      <w:pPr>
        <w:snapToGrid w:val="0"/>
        <w:spacing w:line="600" w:lineRule="exact"/>
        <w:ind w:firstLine="643" w:firstLineChars="200"/>
        <w:rPr>
          <w:rFonts w:hint="eastAsia" w:ascii="楷体_GB2312" w:hAnsi="Times New Roman" w:eastAsia="楷体_GB2312" w:cs="Mongolian Baiti"/>
          <w:b/>
          <w:bCs/>
          <w:color w:val="00B050"/>
          <w:sz w:val="32"/>
          <w:szCs w:val="32"/>
          <w:lang w:eastAsia="zh-CN"/>
        </w:rPr>
      </w:pPr>
      <w:r>
        <w:rPr>
          <w:rFonts w:hint="eastAsia" w:ascii="楷体_GB2312" w:hAnsi="Times New Roman" w:eastAsia="楷体_GB2312" w:cs="Mongolian Baiti"/>
          <w:b/>
          <w:bCs/>
          <w:color w:val="00B050"/>
          <w:sz w:val="32"/>
          <w:szCs w:val="32"/>
          <w:lang w:eastAsia="zh-CN"/>
        </w:rPr>
        <w:drawing>
          <wp:anchor distT="0" distB="0" distL="114300" distR="114300" simplePos="0" relativeHeight="251668480" behindDoc="1" locked="0" layoutInCell="1" allowOverlap="1">
            <wp:simplePos x="0" y="0"/>
            <wp:positionH relativeFrom="column">
              <wp:posOffset>410845</wp:posOffset>
            </wp:positionH>
            <wp:positionV relativeFrom="paragraph">
              <wp:posOffset>-2548255</wp:posOffset>
            </wp:positionV>
            <wp:extent cx="5080000" cy="2829560"/>
            <wp:effectExtent l="4445" t="4445" r="20955" b="23495"/>
            <wp:wrapNone/>
            <wp:docPr id="14" name="图表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snapToGrid w:val="0"/>
        <w:spacing w:line="600" w:lineRule="exact"/>
        <w:ind w:firstLine="643" w:firstLineChars="200"/>
        <w:rPr>
          <w:rFonts w:hint="eastAsia" w:ascii="楷体_GB2312" w:hAnsi="Times New Roman" w:eastAsia="楷体_GB2312" w:cs="Mongolian Baiti"/>
          <w:b/>
          <w:bCs/>
          <w:color w:val="00B050"/>
          <w:sz w:val="32"/>
          <w:szCs w:val="32"/>
        </w:rPr>
      </w:pPr>
    </w:p>
    <w:p>
      <w:pPr>
        <w:snapToGrid w:val="0"/>
        <w:spacing w:line="600" w:lineRule="exact"/>
        <w:ind w:firstLine="643" w:firstLineChars="200"/>
        <w:rPr>
          <w:rFonts w:ascii="仿宋_GB2312" w:hAnsi="Times New Roman" w:eastAsia="仿宋_GB2312" w:cs="Mongolian Baiti"/>
          <w:b/>
          <w:bCs/>
          <w:color w:val="auto"/>
          <w:sz w:val="32"/>
          <w:szCs w:val="32"/>
        </w:rPr>
      </w:pPr>
      <w:r>
        <w:rPr>
          <w:rFonts w:hint="eastAsia" w:ascii="楷体_GB2312" w:hAnsi="Times New Roman" w:eastAsia="楷体_GB2312" w:cs="Mongolian Baiti"/>
          <w:b/>
          <w:bCs/>
          <w:color w:val="auto"/>
          <w:sz w:val="32"/>
          <w:szCs w:val="32"/>
        </w:rPr>
        <w:t>（二）财政拨款收支与年初预算数对比情况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color w:val="auto"/>
          <w:sz w:val="32"/>
          <w:szCs w:val="32"/>
        </w:rPr>
        <w:t>本部门2020年度财政拨款本年收入13562.02万元，完成年初预算的</w:t>
      </w:r>
      <w:r>
        <w:rPr>
          <w:rFonts w:hint="eastAsia" w:ascii="仿宋_GB2312" w:hAnsi="Times New Roman" w:eastAsia="仿宋_GB2312" w:cs="Wingdings"/>
          <w:color w:val="auto"/>
          <w:sz w:val="32"/>
          <w:szCs w:val="32"/>
          <w:lang w:val="en-US" w:eastAsia="zh-CN"/>
        </w:rPr>
        <w:t>196</w:t>
      </w:r>
      <w:r>
        <w:rPr>
          <w:rFonts w:hint="eastAsia" w:ascii="仿宋_GB2312" w:hAnsi="Times New Roman" w:eastAsia="仿宋_GB2312" w:cs="Wingdings"/>
          <w:color w:val="auto"/>
          <w:sz w:val="32"/>
          <w:szCs w:val="32"/>
        </w:rPr>
        <w:t>%,比年初预算增加6642.68万元，</w:t>
      </w:r>
      <w:r>
        <w:rPr>
          <w:rFonts w:hint="eastAsia" w:ascii="仿宋_GB2312" w:hAnsi="Times New Roman" w:eastAsia="仿宋_GB2312" w:cs="Wingdings"/>
          <w:sz w:val="32"/>
          <w:szCs w:val="32"/>
        </w:rPr>
        <w:t>决算数大于预算数主要原因是</w:t>
      </w:r>
      <w:r>
        <w:rPr>
          <w:rFonts w:hint="eastAsia" w:ascii="仿宋_GB2312" w:hAnsi="Times New Roman" w:eastAsia="仿宋_GB2312" w:cs="Wingdings"/>
          <w:color w:val="auto"/>
          <w:sz w:val="32"/>
          <w:szCs w:val="32"/>
          <w:lang w:eastAsia="zh-CN"/>
        </w:rPr>
        <w:t>机关事</w:t>
      </w:r>
      <w:r>
        <w:rPr>
          <w:rFonts w:hint="eastAsia" w:ascii="仿宋_GB2312" w:hAnsi="Times New Roman" w:eastAsia="仿宋_GB2312" w:cs="Wingdings"/>
          <w:sz w:val="32"/>
          <w:szCs w:val="32"/>
          <w:lang w:eastAsia="zh-CN"/>
        </w:rPr>
        <w:t>业单位基本养老保险补助、行政单位离退休、行政事业单位养老支出、企业职工基本养老保险基金的补助支出纳入部门决算，收入增加</w:t>
      </w:r>
      <w:r>
        <w:rPr>
          <w:rFonts w:hint="eastAsia" w:ascii="仿宋_GB2312" w:hAnsi="Times New Roman" w:eastAsia="仿宋_GB2312" w:cs="Wingdings"/>
          <w:sz w:val="32"/>
          <w:szCs w:val="32"/>
        </w:rPr>
        <w:t>；</w:t>
      </w:r>
      <w:r>
        <w:rPr>
          <w:rFonts w:hint="eastAsia" w:ascii="仿宋_GB2312" w:hAnsi="Times New Roman" w:eastAsia="仿宋_GB2312" w:cs="Wingdings"/>
          <w:color w:val="auto"/>
          <w:sz w:val="32"/>
          <w:szCs w:val="32"/>
        </w:rPr>
        <w:t>本年支出13277.97万元，完成年初预算的</w:t>
      </w:r>
      <w:r>
        <w:rPr>
          <w:rFonts w:hint="eastAsia" w:ascii="仿宋_GB2312" w:hAnsi="Times New Roman" w:eastAsia="仿宋_GB2312" w:cs="Wingdings"/>
          <w:color w:val="auto"/>
          <w:sz w:val="32"/>
          <w:szCs w:val="32"/>
          <w:lang w:val="en-US" w:eastAsia="zh-CN"/>
        </w:rPr>
        <w:t>191.9</w:t>
      </w:r>
      <w:r>
        <w:rPr>
          <w:rFonts w:hint="eastAsia" w:ascii="仿宋_GB2312" w:hAnsi="Times New Roman" w:eastAsia="仿宋_GB2312" w:cs="Wingdings"/>
          <w:color w:val="auto"/>
          <w:sz w:val="32"/>
          <w:szCs w:val="32"/>
        </w:rPr>
        <w:t>%,比年初预算增加6358.63万元，决算数大于预算数主要原因是</w:t>
      </w:r>
      <w:r>
        <w:rPr>
          <w:rFonts w:hint="eastAsia" w:ascii="仿宋_GB2312" w:hAnsi="Times New Roman" w:eastAsia="仿宋_GB2312" w:cs="Wingdings"/>
          <w:color w:val="auto"/>
          <w:sz w:val="32"/>
          <w:szCs w:val="32"/>
          <w:lang w:eastAsia="zh-CN"/>
        </w:rPr>
        <w:t>机关事业单位基本养老保险补助、行政单位离退休、行政事业单位养老支出、企业职工基本养老保险基金的补助支出纳入部门决算，支出增加</w:t>
      </w:r>
      <w:r>
        <w:rPr>
          <w:rFonts w:hint="eastAsia" w:ascii="仿宋_GB2312" w:hAnsi="Times New Roman" w:eastAsia="仿宋_GB2312" w:cs="Wingdings"/>
          <w:color w:val="auto"/>
          <w:sz w:val="32"/>
          <w:szCs w:val="32"/>
        </w:rPr>
        <w:t>。</w:t>
      </w:r>
      <w:r>
        <w:rPr>
          <w:rFonts w:hint="eastAsia" w:ascii="仿宋_GB2312" w:hAnsi="Times New Roman" w:eastAsia="仿宋_GB2312" w:cs="Wingdings"/>
          <w:sz w:val="32"/>
          <w:szCs w:val="32"/>
        </w:rPr>
        <w:t>具体情况如下：</w:t>
      </w:r>
    </w:p>
    <w:p>
      <w:pPr>
        <w:numPr>
          <w:ilvl w:val="0"/>
          <w:numId w:val="2"/>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color w:val="auto"/>
          <w:sz w:val="32"/>
          <w:szCs w:val="32"/>
        </w:rPr>
        <w:t>一般公共预算财政拨款本年收入13512.02</w:t>
      </w:r>
      <w:r>
        <w:rPr>
          <w:rFonts w:hint="eastAsia" w:ascii="仿宋_GB2312" w:hAnsi="Times New Roman" w:eastAsia="仿宋_GB2312" w:cs="Wingdings"/>
          <w:color w:val="auto"/>
          <w:sz w:val="32"/>
          <w:szCs w:val="32"/>
          <w:lang w:eastAsia="zh-CN"/>
        </w:rPr>
        <w:t>万元</w:t>
      </w:r>
      <w:r>
        <w:rPr>
          <w:rFonts w:hint="eastAsia" w:ascii="仿宋_GB2312" w:hAnsi="Times New Roman" w:eastAsia="仿宋_GB2312" w:cs="Wingdings"/>
          <w:color w:val="auto"/>
          <w:sz w:val="32"/>
          <w:szCs w:val="32"/>
          <w:lang w:val="en-US" w:eastAsia="zh-CN"/>
        </w:rPr>
        <w:t>,</w:t>
      </w:r>
      <w:r>
        <w:rPr>
          <w:rFonts w:hint="eastAsia" w:ascii="仿宋_GB2312" w:hAnsi="Times New Roman" w:eastAsia="仿宋_GB2312" w:cs="Wingdings"/>
          <w:color w:val="auto"/>
          <w:sz w:val="32"/>
          <w:szCs w:val="32"/>
        </w:rPr>
        <w:t>完成年初预算</w:t>
      </w:r>
      <w:r>
        <w:rPr>
          <w:rFonts w:hint="eastAsia" w:ascii="仿宋_GB2312" w:hAnsi="Times New Roman" w:eastAsia="仿宋_GB2312" w:cs="Wingdings"/>
          <w:color w:val="auto"/>
          <w:sz w:val="32"/>
          <w:szCs w:val="32"/>
          <w:lang w:val="en-US" w:eastAsia="zh-CN"/>
        </w:rPr>
        <w:t>195.28</w:t>
      </w:r>
      <w:r>
        <w:rPr>
          <w:rFonts w:hint="eastAsia" w:ascii="仿宋_GB2312" w:hAnsi="Times New Roman" w:eastAsia="仿宋_GB2312" w:cs="Wingdings"/>
          <w:color w:val="auto"/>
          <w:sz w:val="32"/>
          <w:szCs w:val="32"/>
        </w:rPr>
        <w:t>%，比年初预算增加6592.68万元，</w:t>
      </w:r>
      <w:r>
        <w:rPr>
          <w:rFonts w:hint="eastAsia" w:ascii="仿宋_GB2312" w:hAnsi="Times New Roman" w:eastAsia="仿宋_GB2312" w:cs="Wingdings"/>
          <w:sz w:val="32"/>
          <w:szCs w:val="32"/>
        </w:rPr>
        <w:t>主要是</w:t>
      </w:r>
      <w:r>
        <w:rPr>
          <w:rFonts w:hint="eastAsia" w:ascii="仿宋_GB2312" w:hAnsi="Times New Roman" w:eastAsia="仿宋_GB2312" w:cs="Wingdings"/>
          <w:color w:val="auto"/>
          <w:sz w:val="32"/>
          <w:szCs w:val="32"/>
          <w:lang w:eastAsia="zh-CN"/>
        </w:rPr>
        <w:t>机关事</w:t>
      </w:r>
      <w:r>
        <w:rPr>
          <w:rFonts w:hint="eastAsia" w:ascii="仿宋_GB2312" w:hAnsi="Times New Roman" w:eastAsia="仿宋_GB2312" w:cs="Wingdings"/>
          <w:sz w:val="32"/>
          <w:szCs w:val="32"/>
          <w:lang w:eastAsia="zh-CN"/>
        </w:rPr>
        <w:t>业单位基本养老保险补助、行政单位离退休、行政事业单位养老支出、企业职工基本养老保险基金的补助支出纳入部门决算，收入增加</w:t>
      </w:r>
      <w:r>
        <w:rPr>
          <w:rFonts w:hint="eastAsia" w:ascii="仿宋_GB2312" w:hAnsi="Times New Roman" w:eastAsia="仿宋_GB2312" w:cs="Wingdings"/>
          <w:sz w:val="32"/>
          <w:szCs w:val="32"/>
        </w:rPr>
        <w:t>；</w:t>
      </w:r>
      <w:r>
        <w:rPr>
          <w:rFonts w:hint="eastAsia" w:ascii="仿宋_GB2312" w:hAnsi="Times New Roman" w:eastAsia="仿宋_GB2312" w:cs="Wingdings"/>
          <w:color w:val="auto"/>
          <w:sz w:val="32"/>
          <w:szCs w:val="32"/>
        </w:rPr>
        <w:t>本年</w:t>
      </w:r>
      <w:r>
        <w:rPr>
          <w:rFonts w:hint="eastAsia" w:ascii="仿宋_GB2312" w:hAnsi="Times New Roman" w:eastAsia="仿宋_GB2312" w:cs="Wingdings"/>
          <w:color w:val="auto"/>
          <w:sz w:val="32"/>
          <w:szCs w:val="32"/>
          <w:lang w:eastAsia="zh-CN"/>
        </w:rPr>
        <w:t>支出</w:t>
      </w:r>
      <w:r>
        <w:rPr>
          <w:rFonts w:hint="eastAsia" w:ascii="仿宋_GB2312" w:hAnsi="Times New Roman" w:eastAsia="仿宋_GB2312" w:cs="Wingdings"/>
          <w:color w:val="auto"/>
          <w:sz w:val="32"/>
          <w:szCs w:val="32"/>
        </w:rPr>
        <w:t>13230.66</w:t>
      </w:r>
      <w:r>
        <w:rPr>
          <w:rFonts w:hint="eastAsia" w:ascii="仿宋_GB2312" w:hAnsi="Times New Roman" w:eastAsia="仿宋_GB2312" w:cs="Wingdings"/>
          <w:color w:val="auto"/>
          <w:sz w:val="32"/>
          <w:szCs w:val="32"/>
          <w:lang w:eastAsia="zh-CN"/>
        </w:rPr>
        <w:t>万元</w:t>
      </w:r>
      <w:r>
        <w:rPr>
          <w:rFonts w:hint="eastAsia" w:ascii="仿宋_GB2312" w:hAnsi="Times New Roman" w:eastAsia="仿宋_GB2312" w:cs="Wingdings"/>
          <w:color w:val="auto"/>
          <w:sz w:val="32"/>
          <w:szCs w:val="32"/>
          <w:lang w:val="en-US" w:eastAsia="zh-CN"/>
        </w:rPr>
        <w:t>,</w:t>
      </w:r>
      <w:r>
        <w:rPr>
          <w:rFonts w:hint="eastAsia" w:ascii="仿宋_GB2312" w:hAnsi="Times New Roman" w:eastAsia="仿宋_GB2312" w:cs="Wingdings"/>
          <w:color w:val="auto"/>
          <w:sz w:val="32"/>
          <w:szCs w:val="32"/>
        </w:rPr>
        <w:t>完成年初预算</w:t>
      </w:r>
      <w:r>
        <w:rPr>
          <w:rFonts w:hint="eastAsia" w:ascii="仿宋_GB2312" w:hAnsi="Times New Roman" w:eastAsia="仿宋_GB2312" w:cs="Wingdings"/>
          <w:color w:val="auto"/>
          <w:sz w:val="32"/>
          <w:szCs w:val="32"/>
          <w:lang w:val="en-US" w:eastAsia="zh-CN"/>
        </w:rPr>
        <w:t>191.21</w:t>
      </w:r>
      <w:r>
        <w:rPr>
          <w:rFonts w:hint="eastAsia" w:ascii="仿宋_GB2312" w:hAnsi="Times New Roman" w:eastAsia="仿宋_GB2312" w:cs="Wingdings"/>
          <w:color w:val="auto"/>
          <w:sz w:val="32"/>
          <w:szCs w:val="32"/>
        </w:rPr>
        <w:t>%，比年初预算增加6311.32万元，</w:t>
      </w:r>
      <w:r>
        <w:rPr>
          <w:rFonts w:hint="eastAsia" w:ascii="仿宋_GB2312" w:hAnsi="Times New Roman" w:eastAsia="仿宋_GB2312" w:cs="Wingdings"/>
          <w:sz w:val="32"/>
          <w:szCs w:val="32"/>
        </w:rPr>
        <w:t>主要是</w:t>
      </w:r>
      <w:r>
        <w:rPr>
          <w:rFonts w:hint="eastAsia" w:ascii="仿宋_GB2312" w:hAnsi="Times New Roman" w:eastAsia="仿宋_GB2312" w:cs="Wingdings"/>
          <w:color w:val="auto"/>
          <w:sz w:val="32"/>
          <w:szCs w:val="32"/>
          <w:lang w:eastAsia="zh-CN"/>
        </w:rPr>
        <w:t>机关事业单位基本养老保险补助、行政单位离退休、行政事业单位养老支出、企业职工基本养老保险基金的补助支出纳入部门决算，支出增加</w:t>
      </w:r>
      <w:r>
        <w:rPr>
          <w:rFonts w:hint="eastAsia" w:ascii="仿宋_GB2312" w:hAnsi="Times New Roman" w:eastAsia="仿宋_GB2312" w:cs="Wingdings"/>
          <w:sz w:val="32"/>
          <w:szCs w:val="32"/>
        </w:rPr>
        <w:t>。</w:t>
      </w:r>
    </w:p>
    <w:p>
      <w:pPr>
        <w:numPr>
          <w:ilvl w:val="0"/>
          <w:numId w:val="2"/>
        </w:numPr>
        <w:adjustRightInd w:val="0"/>
        <w:snapToGrid w:val="0"/>
        <w:spacing w:line="600" w:lineRule="exact"/>
        <w:ind w:firstLine="640" w:firstLineChars="200"/>
        <w:rPr>
          <w:rFonts w:ascii="仿宋_GB2312" w:hAnsi="Times New Roman" w:eastAsia="仿宋_GB2312" w:cs="Wingdings"/>
          <w:color w:val="auto"/>
          <w:sz w:val="32"/>
          <w:szCs w:val="32"/>
        </w:rPr>
      </w:pPr>
      <w:r>
        <w:rPr>
          <w:rFonts w:hint="eastAsia" w:ascii="仿宋_GB2312" w:hAnsi="Times New Roman" w:eastAsia="仿宋_GB2312" w:cs="Wingdings"/>
          <w:color w:val="auto"/>
          <w:sz w:val="32"/>
          <w:szCs w:val="32"/>
        </w:rPr>
        <w:t>政府性基金预算财政拨款本年收入</w:t>
      </w:r>
      <w:r>
        <w:rPr>
          <w:rFonts w:hint="eastAsia" w:ascii="仿宋_GB2312" w:hAnsi="Times New Roman" w:eastAsia="仿宋_GB2312" w:cs="Wingdings"/>
          <w:color w:val="auto"/>
          <w:sz w:val="32"/>
          <w:szCs w:val="32"/>
          <w:lang w:val="en-US" w:eastAsia="zh-CN"/>
        </w:rPr>
        <w:t>50</w:t>
      </w:r>
      <w:r>
        <w:rPr>
          <w:rFonts w:hint="eastAsia" w:ascii="仿宋_GB2312" w:hAnsi="Times New Roman" w:eastAsia="仿宋_GB2312" w:cs="Wingdings"/>
          <w:color w:val="auto"/>
          <w:sz w:val="32"/>
          <w:szCs w:val="32"/>
        </w:rPr>
        <w:t>万元，完成年初预算</w:t>
      </w:r>
      <w:r>
        <w:rPr>
          <w:rFonts w:hint="eastAsia" w:ascii="仿宋_GB2312" w:hAnsi="Times New Roman" w:eastAsia="仿宋_GB2312" w:cs="Wingdings"/>
          <w:color w:val="auto"/>
          <w:sz w:val="32"/>
          <w:szCs w:val="32"/>
          <w:lang w:val="en-US" w:eastAsia="zh-CN"/>
        </w:rPr>
        <w:t>--</w:t>
      </w:r>
      <w:r>
        <w:rPr>
          <w:rFonts w:hint="eastAsia" w:ascii="仿宋_GB2312" w:hAnsi="Times New Roman" w:eastAsia="仿宋_GB2312" w:cs="Wingdings"/>
          <w:color w:val="auto"/>
          <w:sz w:val="32"/>
          <w:szCs w:val="32"/>
        </w:rPr>
        <w:t>%，比年初预算增加</w:t>
      </w:r>
      <w:r>
        <w:rPr>
          <w:rFonts w:hint="eastAsia" w:ascii="仿宋_GB2312" w:hAnsi="Times New Roman" w:eastAsia="仿宋_GB2312" w:cs="Wingdings"/>
          <w:color w:val="auto"/>
          <w:sz w:val="32"/>
          <w:szCs w:val="32"/>
          <w:lang w:val="en-US" w:eastAsia="zh-CN"/>
        </w:rPr>
        <w:t>50</w:t>
      </w:r>
      <w:r>
        <w:rPr>
          <w:rFonts w:hint="eastAsia" w:ascii="仿宋_GB2312" w:hAnsi="Times New Roman" w:eastAsia="仿宋_GB2312" w:cs="Wingdings"/>
          <w:color w:val="auto"/>
          <w:sz w:val="32"/>
          <w:szCs w:val="32"/>
        </w:rPr>
        <w:t>万元，主要是加大</w:t>
      </w:r>
      <w:r>
        <w:rPr>
          <w:rFonts w:hint="eastAsia" w:ascii="仿宋_GB2312" w:hAnsi="Times New Roman" w:eastAsia="仿宋_GB2312" w:cs="Wingdings"/>
          <w:color w:val="auto"/>
          <w:sz w:val="32"/>
          <w:szCs w:val="32"/>
          <w:lang w:eastAsia="zh-CN"/>
        </w:rPr>
        <w:t>了</w:t>
      </w:r>
      <w:r>
        <w:rPr>
          <w:rFonts w:hint="eastAsia" w:ascii="仿宋_GB2312" w:hAnsi="Times New Roman" w:eastAsia="仿宋_GB2312" w:cs="Wingdings"/>
          <w:color w:val="auto"/>
          <w:sz w:val="32"/>
          <w:szCs w:val="32"/>
        </w:rPr>
        <w:t>创业工作扶持力度，创业贴息</w:t>
      </w:r>
      <w:r>
        <w:rPr>
          <w:rFonts w:hint="eastAsia" w:ascii="仿宋_GB2312" w:hAnsi="Times New Roman" w:eastAsia="仿宋_GB2312" w:cs="Wingdings"/>
          <w:color w:val="auto"/>
          <w:sz w:val="32"/>
          <w:szCs w:val="32"/>
          <w:lang w:eastAsia="zh-CN"/>
        </w:rPr>
        <w:t>收支增加</w:t>
      </w:r>
      <w:r>
        <w:rPr>
          <w:rFonts w:hint="eastAsia" w:ascii="仿宋_GB2312" w:hAnsi="Times New Roman" w:eastAsia="仿宋_GB2312" w:cs="Wingdings"/>
          <w:color w:val="auto"/>
          <w:sz w:val="32"/>
          <w:szCs w:val="32"/>
        </w:rPr>
        <w:t>；本年支出</w:t>
      </w:r>
      <w:r>
        <w:rPr>
          <w:rFonts w:hint="eastAsia" w:ascii="仿宋_GB2312" w:hAnsi="Times New Roman" w:eastAsia="仿宋_GB2312" w:cs="Wingdings"/>
          <w:color w:val="auto"/>
          <w:sz w:val="32"/>
          <w:szCs w:val="32"/>
          <w:lang w:val="en-US" w:eastAsia="zh-CN"/>
        </w:rPr>
        <w:t>47.31</w:t>
      </w:r>
      <w:r>
        <w:rPr>
          <w:rFonts w:hint="eastAsia" w:ascii="仿宋_GB2312" w:hAnsi="Times New Roman" w:eastAsia="仿宋_GB2312" w:cs="Wingdings"/>
          <w:color w:val="auto"/>
          <w:sz w:val="32"/>
          <w:szCs w:val="32"/>
        </w:rPr>
        <w:t>万元</w:t>
      </w:r>
      <w:r>
        <w:rPr>
          <w:rFonts w:hint="eastAsia" w:ascii="仿宋_GB2312" w:hAnsi="Times New Roman" w:eastAsia="仿宋_GB2312" w:cs="Wingdings"/>
          <w:color w:val="auto"/>
          <w:sz w:val="32"/>
          <w:szCs w:val="32"/>
          <w:lang w:eastAsia="zh-CN"/>
        </w:rPr>
        <w:t>，</w:t>
      </w:r>
      <w:r>
        <w:rPr>
          <w:rFonts w:hint="eastAsia" w:ascii="仿宋_GB2312" w:hAnsi="Times New Roman" w:eastAsia="仿宋_GB2312" w:cs="Wingdings"/>
          <w:color w:val="auto"/>
          <w:sz w:val="32"/>
          <w:szCs w:val="32"/>
        </w:rPr>
        <w:t>完成年初预算</w:t>
      </w:r>
      <w:r>
        <w:rPr>
          <w:rFonts w:hint="eastAsia" w:ascii="仿宋_GB2312" w:hAnsi="Times New Roman" w:eastAsia="仿宋_GB2312" w:cs="Wingdings"/>
          <w:color w:val="auto"/>
          <w:sz w:val="32"/>
          <w:szCs w:val="32"/>
          <w:lang w:val="en-US" w:eastAsia="zh-CN"/>
        </w:rPr>
        <w:t>--</w:t>
      </w:r>
      <w:r>
        <w:rPr>
          <w:rFonts w:hint="eastAsia" w:ascii="仿宋_GB2312" w:hAnsi="Times New Roman" w:eastAsia="仿宋_GB2312" w:cs="Wingdings"/>
          <w:color w:val="auto"/>
          <w:sz w:val="32"/>
          <w:szCs w:val="32"/>
        </w:rPr>
        <w:t>%，比年初预算增加</w:t>
      </w:r>
      <w:r>
        <w:rPr>
          <w:rFonts w:hint="eastAsia" w:ascii="仿宋_GB2312" w:hAnsi="Times New Roman" w:eastAsia="仿宋_GB2312" w:cs="Wingdings"/>
          <w:color w:val="auto"/>
          <w:sz w:val="32"/>
          <w:szCs w:val="32"/>
          <w:lang w:val="en-US" w:eastAsia="zh-CN"/>
        </w:rPr>
        <w:t>47.31</w:t>
      </w:r>
      <w:r>
        <w:rPr>
          <w:rFonts w:hint="eastAsia" w:ascii="仿宋_GB2312" w:hAnsi="Times New Roman" w:eastAsia="仿宋_GB2312" w:cs="Wingdings"/>
          <w:color w:val="auto"/>
          <w:sz w:val="32"/>
          <w:szCs w:val="32"/>
        </w:rPr>
        <w:t>万元，主要是加大</w:t>
      </w:r>
      <w:r>
        <w:rPr>
          <w:rFonts w:hint="eastAsia" w:ascii="仿宋_GB2312" w:hAnsi="Times New Roman" w:eastAsia="仿宋_GB2312" w:cs="Wingdings"/>
          <w:color w:val="auto"/>
          <w:sz w:val="32"/>
          <w:szCs w:val="32"/>
          <w:lang w:eastAsia="zh-CN"/>
        </w:rPr>
        <w:t>了</w:t>
      </w:r>
      <w:r>
        <w:rPr>
          <w:rFonts w:hint="eastAsia" w:ascii="仿宋_GB2312" w:hAnsi="Times New Roman" w:eastAsia="仿宋_GB2312" w:cs="Wingdings"/>
          <w:color w:val="auto"/>
          <w:sz w:val="32"/>
          <w:szCs w:val="32"/>
        </w:rPr>
        <w:t>创业工作扶持力度，创业贴息</w:t>
      </w:r>
      <w:r>
        <w:rPr>
          <w:rFonts w:hint="eastAsia" w:ascii="仿宋_GB2312" w:hAnsi="Times New Roman" w:eastAsia="仿宋_GB2312" w:cs="Wingdings"/>
          <w:color w:val="auto"/>
          <w:sz w:val="32"/>
          <w:szCs w:val="32"/>
          <w:lang w:eastAsia="zh-CN"/>
        </w:rPr>
        <w:t>收支增加</w:t>
      </w:r>
      <w:r>
        <w:rPr>
          <w:rFonts w:hint="eastAsia" w:ascii="仿宋_GB2312" w:hAnsi="Times New Roman" w:eastAsia="仿宋_GB2312" w:cs="Wingdings"/>
          <w:color w:val="auto"/>
          <w:sz w:val="32"/>
          <w:szCs w:val="32"/>
        </w:rPr>
        <w:t>。</w:t>
      </w:r>
    </w:p>
    <w:p>
      <w:pPr>
        <w:numPr>
          <w:ilvl w:val="0"/>
          <w:numId w:val="0"/>
        </w:numPr>
        <w:adjustRightInd w:val="0"/>
        <w:snapToGrid w:val="0"/>
        <w:spacing w:line="600" w:lineRule="exact"/>
        <w:rPr>
          <w:rFonts w:hint="eastAsia" w:ascii="仿宋_GB2312" w:hAnsi="Times New Roman" w:eastAsia="仿宋_GB2312" w:cs="Wingdings"/>
          <w:color w:val="auto"/>
          <w:sz w:val="32"/>
          <w:szCs w:val="32"/>
        </w:rPr>
      </w:pPr>
    </w:p>
    <w:p>
      <w:pPr>
        <w:numPr>
          <w:ilvl w:val="0"/>
          <w:numId w:val="0"/>
        </w:numPr>
        <w:adjustRightInd w:val="0"/>
        <w:snapToGrid w:val="0"/>
        <w:spacing w:line="600" w:lineRule="exact"/>
        <w:rPr>
          <w:rFonts w:hint="eastAsia" w:ascii="仿宋_GB2312" w:hAnsi="Times New Roman" w:eastAsia="仿宋_GB2312" w:cs="Wingdings"/>
          <w:color w:val="auto"/>
          <w:sz w:val="32"/>
          <w:szCs w:val="32"/>
        </w:rPr>
      </w:pPr>
    </w:p>
    <w:p>
      <w:pPr>
        <w:numPr>
          <w:ilvl w:val="0"/>
          <w:numId w:val="0"/>
        </w:numPr>
        <w:adjustRightInd w:val="0"/>
        <w:snapToGrid w:val="0"/>
        <w:spacing w:line="600" w:lineRule="exact"/>
        <w:rPr>
          <w:rFonts w:hint="eastAsia" w:ascii="仿宋_GB2312" w:hAnsi="Times New Roman" w:eastAsia="仿宋_GB2312" w:cs="Wingdings"/>
          <w:color w:val="auto"/>
          <w:sz w:val="32"/>
          <w:szCs w:val="32"/>
        </w:rPr>
      </w:pPr>
    </w:p>
    <w:p>
      <w:pPr>
        <w:numPr>
          <w:ilvl w:val="0"/>
          <w:numId w:val="0"/>
        </w:numPr>
        <w:adjustRightInd w:val="0"/>
        <w:snapToGrid w:val="0"/>
        <w:spacing w:line="600" w:lineRule="exact"/>
        <w:rPr>
          <w:rFonts w:hint="eastAsia" w:ascii="仿宋_GB2312" w:hAnsi="Times New Roman" w:eastAsia="仿宋_GB2312" w:cs="Wingdings"/>
          <w:color w:val="auto"/>
          <w:sz w:val="32"/>
          <w:szCs w:val="32"/>
        </w:rPr>
      </w:pPr>
    </w:p>
    <w:p>
      <w:pPr>
        <w:numPr>
          <w:ilvl w:val="0"/>
          <w:numId w:val="0"/>
        </w:numPr>
        <w:adjustRightInd w:val="0"/>
        <w:snapToGrid w:val="0"/>
        <w:spacing w:line="600" w:lineRule="exact"/>
        <w:rPr>
          <w:rFonts w:hint="eastAsia" w:ascii="仿宋_GB2312" w:hAnsi="Times New Roman" w:eastAsia="仿宋_GB2312" w:cs="Wingdings"/>
          <w:color w:val="auto"/>
          <w:sz w:val="32"/>
          <w:szCs w:val="32"/>
        </w:rPr>
      </w:pPr>
    </w:p>
    <w:p>
      <w:pPr>
        <w:numPr>
          <w:ilvl w:val="0"/>
          <w:numId w:val="0"/>
        </w:numPr>
        <w:adjustRightInd w:val="0"/>
        <w:snapToGrid w:val="0"/>
        <w:spacing w:line="600" w:lineRule="exact"/>
        <w:rPr>
          <w:rFonts w:hint="eastAsia" w:ascii="仿宋_GB2312" w:hAnsi="Times New Roman" w:eastAsia="仿宋_GB2312" w:cs="Wingdings"/>
          <w:color w:val="auto"/>
          <w:sz w:val="32"/>
          <w:szCs w:val="32"/>
        </w:rPr>
      </w:pPr>
    </w:p>
    <w:p>
      <w:pPr>
        <w:numPr>
          <w:ilvl w:val="0"/>
          <w:numId w:val="0"/>
        </w:numPr>
        <w:adjustRightInd w:val="0"/>
        <w:snapToGrid w:val="0"/>
        <w:spacing w:line="600" w:lineRule="exact"/>
        <w:rPr>
          <w:rFonts w:hint="eastAsia" w:ascii="仿宋_GB2312" w:hAnsi="Times New Roman" w:eastAsia="仿宋_GB2312" w:cs="Wingdings"/>
          <w:color w:val="auto"/>
          <w:sz w:val="32"/>
          <w:szCs w:val="32"/>
        </w:rPr>
      </w:pPr>
    </w:p>
    <w:p>
      <w:pPr>
        <w:numPr>
          <w:ilvl w:val="0"/>
          <w:numId w:val="0"/>
        </w:numPr>
        <w:adjustRightInd w:val="0"/>
        <w:snapToGrid w:val="0"/>
        <w:spacing w:line="600" w:lineRule="exact"/>
        <w:rPr>
          <w:rFonts w:hint="eastAsia" w:ascii="仿宋_GB2312" w:hAnsi="Times New Roman" w:eastAsia="仿宋_GB2312" w:cs="Wingdings"/>
          <w:color w:val="auto"/>
          <w:sz w:val="32"/>
          <w:szCs w:val="32"/>
        </w:rPr>
      </w:pPr>
      <w:bookmarkStart w:id="0" w:name="_GoBack"/>
      <w:bookmarkEnd w:id="0"/>
      <w:r>
        <w:rPr>
          <w:rFonts w:hint="eastAsia" w:ascii="楷体_GB2312" w:hAnsi="Times New Roman" w:eastAsia="楷体_GB2312" w:cs="Mongolian Baiti"/>
          <w:b/>
          <w:bCs/>
          <w:color w:val="00B050"/>
          <w:sz w:val="32"/>
          <w:szCs w:val="32"/>
          <w:lang w:eastAsia="zh-CN"/>
        </w:rPr>
        <w:drawing>
          <wp:anchor distT="0" distB="0" distL="114300" distR="114300" simplePos="0" relativeHeight="251668480" behindDoc="1" locked="0" layoutInCell="1" allowOverlap="1">
            <wp:simplePos x="0" y="0"/>
            <wp:positionH relativeFrom="column">
              <wp:posOffset>4445</wp:posOffset>
            </wp:positionH>
            <wp:positionV relativeFrom="paragraph">
              <wp:posOffset>-2186305</wp:posOffset>
            </wp:positionV>
            <wp:extent cx="5471160" cy="2470150"/>
            <wp:effectExtent l="4445" t="4445" r="10795" b="20955"/>
            <wp:wrapNone/>
            <wp:docPr id="17" name="图表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pPr>
        <w:numPr>
          <w:ilvl w:val="0"/>
          <w:numId w:val="0"/>
        </w:numPr>
        <w:adjustRightInd w:val="0"/>
        <w:snapToGrid w:val="0"/>
        <w:spacing w:line="600" w:lineRule="exact"/>
        <w:ind w:firstLine="643" w:firstLineChars="200"/>
        <w:rPr>
          <w:rFonts w:ascii="楷体_GB2312" w:hAnsi="Times New Roman" w:eastAsia="楷体_GB2312" w:cs="Mongolian Baiti"/>
          <w:b/>
          <w:bCs/>
          <w:color w:val="auto"/>
          <w:sz w:val="32"/>
          <w:szCs w:val="32"/>
        </w:rPr>
      </w:pPr>
      <w:r>
        <w:rPr>
          <w:rFonts w:hint="eastAsia" w:ascii="楷体_GB2312" w:hAnsi="Times New Roman" w:eastAsia="楷体_GB2312" w:cs="Mongolian Baiti"/>
          <w:b/>
          <w:bCs/>
          <w:color w:val="auto"/>
          <w:sz w:val="32"/>
          <w:szCs w:val="32"/>
        </w:rPr>
        <w:t>（</w:t>
      </w:r>
      <w:r>
        <w:rPr>
          <w:rFonts w:hint="eastAsia" w:ascii="楷体_GB2312" w:hAnsi="Times New Roman" w:eastAsia="楷体_GB2312" w:cs="Mongolian Baiti"/>
          <w:b/>
          <w:bCs/>
          <w:color w:val="auto"/>
          <w:sz w:val="32"/>
          <w:szCs w:val="32"/>
          <w:lang w:eastAsia="zh-CN"/>
        </w:rPr>
        <w:t>三</w:t>
      </w:r>
      <w:r>
        <w:rPr>
          <w:rFonts w:hint="eastAsia" w:ascii="楷体_GB2312" w:hAnsi="Times New Roman" w:eastAsia="楷体_GB2312" w:cs="Mongolian Baiti"/>
          <w:b/>
          <w:bCs/>
          <w:color w:val="auto"/>
          <w:sz w:val="32"/>
          <w:szCs w:val="32"/>
        </w:rPr>
        <w:t>）财政拨款支出决算结构情况。</w:t>
      </w:r>
    </w:p>
    <w:p>
      <w:pPr>
        <w:pageBreakBefore w:val="0"/>
        <w:kinsoku/>
        <w:wordWrap/>
        <w:overflowPunct/>
        <w:topLinePunct w:val="0"/>
        <w:bidi w:val="0"/>
        <w:adjustRightInd/>
        <w:snapToGrid/>
        <w:spacing w:line="240" w:lineRule="auto"/>
        <w:ind w:firstLine="640" w:firstLineChars="200"/>
        <w:textAlignment w:val="auto"/>
        <w:rPr>
          <w:rFonts w:hint="eastAsia" w:ascii="仿宋_GB2312" w:hAnsi="Times New Roman" w:eastAsia="仿宋_GB2312" w:cs="Wingdings"/>
          <w:color w:val="auto"/>
          <w:sz w:val="32"/>
          <w:szCs w:val="32"/>
        </w:rPr>
      </w:pPr>
      <w:r>
        <w:rPr>
          <w:rFonts w:hint="eastAsia" w:ascii="仿宋_GB2312" w:hAnsi="Times New Roman" w:eastAsia="仿宋_GB2312" w:cs="Wingdings"/>
          <w:color w:val="auto"/>
          <w:sz w:val="32"/>
          <w:szCs w:val="32"/>
        </w:rPr>
        <w:t>2020 年度财政拨款支出13277.97万元，主要用于以下方面：一般公共服务（类）支出</w:t>
      </w:r>
      <w:r>
        <w:rPr>
          <w:rFonts w:hint="eastAsia" w:ascii="仿宋_GB2312" w:hAnsi="Times New Roman" w:eastAsia="仿宋_GB2312" w:cs="Wingdings"/>
          <w:color w:val="auto"/>
          <w:sz w:val="32"/>
          <w:szCs w:val="32"/>
          <w:lang w:val="en-US" w:eastAsia="zh-CN"/>
        </w:rPr>
        <w:t>9</w:t>
      </w:r>
      <w:r>
        <w:rPr>
          <w:rFonts w:hint="eastAsia" w:ascii="仿宋_GB2312" w:hAnsi="Times New Roman" w:eastAsia="仿宋_GB2312" w:cs="Wingdings"/>
          <w:color w:val="auto"/>
          <w:sz w:val="32"/>
          <w:szCs w:val="32"/>
        </w:rPr>
        <w:t>万元，占</w:t>
      </w:r>
      <w:r>
        <w:rPr>
          <w:rFonts w:hint="eastAsia" w:ascii="仿宋_GB2312" w:hAnsi="Times New Roman" w:eastAsia="仿宋_GB2312" w:cs="Wingdings"/>
          <w:color w:val="auto"/>
          <w:sz w:val="32"/>
          <w:szCs w:val="32"/>
          <w:lang w:val="en-US" w:eastAsia="zh-CN"/>
        </w:rPr>
        <w:t>0.07</w:t>
      </w:r>
      <w:r>
        <w:rPr>
          <w:rFonts w:hint="eastAsia" w:ascii="仿宋_GB2312" w:hAnsi="Times New Roman" w:eastAsia="仿宋_GB2312" w:cs="Wingdings"/>
          <w:color w:val="auto"/>
          <w:sz w:val="32"/>
          <w:szCs w:val="32"/>
        </w:rPr>
        <w:t>%；教育（类）支出</w:t>
      </w:r>
      <w:r>
        <w:rPr>
          <w:rFonts w:hint="eastAsia" w:ascii="仿宋_GB2312" w:hAnsi="Times New Roman" w:eastAsia="仿宋_GB2312" w:cs="Wingdings"/>
          <w:color w:val="auto"/>
          <w:sz w:val="32"/>
          <w:szCs w:val="32"/>
          <w:lang w:val="en-US" w:eastAsia="zh-CN"/>
        </w:rPr>
        <w:t>29.99</w:t>
      </w:r>
      <w:r>
        <w:rPr>
          <w:rFonts w:hint="eastAsia" w:ascii="仿宋_GB2312" w:hAnsi="Times New Roman" w:eastAsia="仿宋_GB2312" w:cs="Wingdings"/>
          <w:color w:val="auto"/>
          <w:sz w:val="32"/>
          <w:szCs w:val="32"/>
        </w:rPr>
        <w:t>万元，占</w:t>
      </w:r>
      <w:r>
        <w:rPr>
          <w:rFonts w:hint="eastAsia" w:ascii="仿宋_GB2312" w:hAnsi="Times New Roman" w:eastAsia="仿宋_GB2312" w:cs="Wingdings"/>
          <w:color w:val="auto"/>
          <w:sz w:val="32"/>
          <w:szCs w:val="32"/>
          <w:lang w:val="en-US" w:eastAsia="zh-CN"/>
        </w:rPr>
        <w:t>0.23</w:t>
      </w:r>
      <w:r>
        <w:rPr>
          <w:rFonts w:hint="eastAsia" w:ascii="仿宋_GB2312" w:hAnsi="Times New Roman" w:eastAsia="仿宋_GB2312" w:cs="Wingdings"/>
          <w:color w:val="auto"/>
          <w:sz w:val="32"/>
          <w:szCs w:val="32"/>
        </w:rPr>
        <w:t>%；社会保障和就业（类）支出12959.91万元，占</w:t>
      </w:r>
      <w:r>
        <w:rPr>
          <w:rFonts w:hint="eastAsia" w:ascii="仿宋_GB2312" w:hAnsi="Times New Roman" w:eastAsia="仿宋_GB2312" w:cs="Wingdings"/>
          <w:color w:val="auto"/>
          <w:sz w:val="32"/>
          <w:szCs w:val="32"/>
          <w:lang w:val="en-US" w:eastAsia="zh-CN"/>
        </w:rPr>
        <w:t>97.60</w:t>
      </w:r>
      <w:r>
        <w:rPr>
          <w:rFonts w:hint="eastAsia" w:ascii="仿宋_GB2312" w:hAnsi="Times New Roman" w:eastAsia="仿宋_GB2312" w:cs="Wingdings"/>
          <w:color w:val="auto"/>
          <w:sz w:val="32"/>
          <w:szCs w:val="32"/>
        </w:rPr>
        <w:t>%；</w:t>
      </w:r>
      <w:r>
        <w:rPr>
          <w:rFonts w:hint="eastAsia" w:ascii="仿宋_GB2312" w:hAnsi="Times New Roman" w:eastAsia="仿宋_GB2312" w:cs="DengXian-Regular"/>
          <w:color w:val="auto"/>
          <w:sz w:val="32"/>
          <w:szCs w:val="32"/>
        </w:rPr>
        <w:t>卫生健康（类）支出</w:t>
      </w:r>
      <w:r>
        <w:rPr>
          <w:rFonts w:hint="eastAsia" w:ascii="仿宋_GB2312" w:hAnsi="Times New Roman" w:eastAsia="仿宋_GB2312" w:cs="DengXian-Regular"/>
          <w:color w:val="auto"/>
          <w:sz w:val="32"/>
          <w:szCs w:val="32"/>
          <w:lang w:val="en-US" w:eastAsia="zh-CN"/>
        </w:rPr>
        <w:t>33</w:t>
      </w:r>
      <w:r>
        <w:rPr>
          <w:rFonts w:hint="eastAsia" w:ascii="仿宋_GB2312" w:hAnsi="Times New Roman" w:eastAsia="仿宋_GB2312" w:cs="DengXian-Regular"/>
          <w:color w:val="auto"/>
          <w:sz w:val="32"/>
          <w:szCs w:val="32"/>
        </w:rPr>
        <w:t>.</w:t>
      </w:r>
      <w:r>
        <w:rPr>
          <w:rFonts w:hint="eastAsia" w:ascii="仿宋_GB2312" w:hAnsi="Times New Roman" w:eastAsia="仿宋_GB2312" w:cs="DengXian-Regular"/>
          <w:color w:val="auto"/>
          <w:sz w:val="32"/>
          <w:szCs w:val="32"/>
          <w:lang w:val="en-US" w:eastAsia="zh-CN"/>
        </w:rPr>
        <w:t>33</w:t>
      </w:r>
      <w:r>
        <w:rPr>
          <w:rFonts w:hint="eastAsia" w:ascii="仿宋_GB2312" w:hAnsi="Times New Roman" w:eastAsia="仿宋_GB2312" w:cs="DengXian-Regular"/>
          <w:color w:val="auto"/>
          <w:sz w:val="32"/>
          <w:szCs w:val="32"/>
        </w:rPr>
        <w:t>万元，占</w:t>
      </w:r>
      <w:r>
        <w:rPr>
          <w:rFonts w:hint="eastAsia" w:ascii="仿宋_GB2312" w:hAnsi="Times New Roman" w:eastAsia="仿宋_GB2312" w:cs="DengXian-Regular"/>
          <w:color w:val="auto"/>
          <w:sz w:val="32"/>
          <w:szCs w:val="32"/>
          <w:lang w:val="en-US" w:eastAsia="zh-CN"/>
        </w:rPr>
        <w:t>0.25</w:t>
      </w:r>
      <w:r>
        <w:rPr>
          <w:rFonts w:hint="eastAsia" w:ascii="仿宋_GB2312" w:hAnsi="Times New Roman" w:eastAsia="仿宋_GB2312" w:cs="DengXian-Regular"/>
          <w:color w:val="auto"/>
          <w:sz w:val="32"/>
          <w:szCs w:val="32"/>
        </w:rPr>
        <w:t>%;农林水（类）支出</w:t>
      </w:r>
      <w:r>
        <w:rPr>
          <w:rFonts w:hint="eastAsia" w:ascii="仿宋_GB2312" w:hAnsi="Times New Roman" w:eastAsia="仿宋_GB2312" w:cs="DengXian-Regular"/>
          <w:color w:val="auto"/>
          <w:sz w:val="32"/>
          <w:szCs w:val="32"/>
          <w:lang w:val="en-US" w:eastAsia="zh-CN"/>
        </w:rPr>
        <w:t>140</w:t>
      </w:r>
      <w:r>
        <w:rPr>
          <w:rFonts w:hint="eastAsia" w:ascii="仿宋_GB2312" w:hAnsi="Times New Roman" w:eastAsia="仿宋_GB2312" w:cs="DengXian-Regular"/>
          <w:color w:val="auto"/>
          <w:sz w:val="32"/>
          <w:szCs w:val="32"/>
        </w:rPr>
        <w:t>.</w:t>
      </w:r>
      <w:r>
        <w:rPr>
          <w:rFonts w:hint="eastAsia" w:ascii="仿宋_GB2312" w:hAnsi="Times New Roman" w:eastAsia="仿宋_GB2312" w:cs="DengXian-Regular"/>
          <w:color w:val="auto"/>
          <w:sz w:val="32"/>
          <w:szCs w:val="32"/>
          <w:lang w:val="en-US" w:eastAsia="zh-CN"/>
        </w:rPr>
        <w:t>9</w:t>
      </w:r>
      <w:r>
        <w:rPr>
          <w:rFonts w:hint="eastAsia" w:ascii="仿宋_GB2312" w:hAnsi="Times New Roman" w:eastAsia="仿宋_GB2312" w:cs="DengXian-Regular"/>
          <w:color w:val="auto"/>
          <w:sz w:val="32"/>
          <w:szCs w:val="32"/>
        </w:rPr>
        <w:t>万元，占</w:t>
      </w:r>
      <w:r>
        <w:rPr>
          <w:rFonts w:hint="eastAsia" w:ascii="仿宋_GB2312" w:hAnsi="Times New Roman" w:eastAsia="仿宋_GB2312" w:cs="DengXian-Regular"/>
          <w:color w:val="auto"/>
          <w:sz w:val="32"/>
          <w:szCs w:val="32"/>
          <w:lang w:val="en-US" w:eastAsia="zh-CN"/>
        </w:rPr>
        <w:t>1.06</w:t>
      </w:r>
      <w:r>
        <w:rPr>
          <w:rFonts w:hint="eastAsia" w:ascii="仿宋_GB2312" w:hAnsi="Times New Roman" w:eastAsia="仿宋_GB2312" w:cs="DengXian-Regular"/>
          <w:color w:val="auto"/>
          <w:sz w:val="32"/>
          <w:szCs w:val="32"/>
        </w:rPr>
        <w:t>%</w:t>
      </w:r>
      <w:r>
        <w:rPr>
          <w:rFonts w:hint="eastAsia" w:ascii="仿宋_GB2312" w:hAnsi="Times New Roman" w:eastAsia="仿宋_GB2312" w:cs="Wingdings"/>
          <w:color w:val="auto"/>
          <w:sz w:val="32"/>
          <w:szCs w:val="32"/>
        </w:rPr>
        <w:t>；住房保障（类）支出</w:t>
      </w:r>
      <w:r>
        <w:rPr>
          <w:rFonts w:hint="eastAsia" w:ascii="仿宋_GB2312" w:hAnsi="Times New Roman" w:eastAsia="仿宋_GB2312" w:cs="Wingdings"/>
          <w:color w:val="auto"/>
          <w:sz w:val="32"/>
          <w:szCs w:val="32"/>
          <w:lang w:val="en-US" w:eastAsia="zh-CN"/>
        </w:rPr>
        <w:t>57.53</w:t>
      </w:r>
      <w:r>
        <w:rPr>
          <w:rFonts w:hint="eastAsia" w:ascii="仿宋_GB2312" w:hAnsi="Times New Roman" w:eastAsia="仿宋_GB2312" w:cs="Wingdings"/>
          <w:color w:val="auto"/>
          <w:sz w:val="32"/>
          <w:szCs w:val="32"/>
        </w:rPr>
        <w:t xml:space="preserve">万元，占 </w:t>
      </w:r>
      <w:r>
        <w:rPr>
          <w:rFonts w:hint="eastAsia" w:ascii="仿宋_GB2312" w:hAnsi="Times New Roman" w:eastAsia="仿宋_GB2312" w:cs="Wingdings"/>
          <w:color w:val="auto"/>
          <w:sz w:val="32"/>
          <w:szCs w:val="32"/>
          <w:lang w:val="en-US" w:eastAsia="zh-CN"/>
        </w:rPr>
        <w:t>0.43</w:t>
      </w:r>
      <w:r>
        <w:rPr>
          <w:rFonts w:hint="eastAsia" w:ascii="仿宋_GB2312" w:hAnsi="Times New Roman" w:eastAsia="仿宋_GB2312" w:cs="Wingdings"/>
          <w:color w:val="auto"/>
          <w:sz w:val="32"/>
          <w:szCs w:val="32"/>
        </w:rPr>
        <w:t>%；抗疫特别国债安排的支出</w:t>
      </w:r>
      <w:r>
        <w:rPr>
          <w:rFonts w:hint="eastAsia" w:ascii="仿宋_GB2312" w:hAnsi="Times New Roman" w:eastAsia="仿宋_GB2312" w:cs="Wingdings"/>
          <w:color w:val="auto"/>
          <w:sz w:val="32"/>
          <w:szCs w:val="32"/>
          <w:lang w:val="en-US" w:eastAsia="zh-CN"/>
        </w:rPr>
        <w:t>47.31</w:t>
      </w:r>
      <w:r>
        <w:rPr>
          <w:rFonts w:hint="eastAsia" w:ascii="仿宋_GB2312" w:hAnsi="Times New Roman" w:eastAsia="仿宋_GB2312" w:cs="Wingdings"/>
          <w:color w:val="auto"/>
          <w:sz w:val="32"/>
          <w:szCs w:val="32"/>
        </w:rPr>
        <w:t>万元，占</w:t>
      </w:r>
      <w:r>
        <w:rPr>
          <w:rFonts w:hint="eastAsia" w:ascii="仿宋_GB2312" w:hAnsi="Times New Roman" w:eastAsia="仿宋_GB2312" w:cs="Wingdings"/>
          <w:color w:val="auto"/>
          <w:sz w:val="32"/>
          <w:szCs w:val="32"/>
          <w:lang w:val="en-US" w:eastAsia="zh-CN"/>
        </w:rPr>
        <w:t>0.36</w:t>
      </w:r>
      <w:r>
        <w:rPr>
          <w:rFonts w:hint="eastAsia" w:ascii="仿宋_GB2312" w:hAnsi="Times New Roman" w:eastAsia="仿宋_GB2312" w:cs="Wingdings"/>
          <w:color w:val="auto"/>
          <w:sz w:val="32"/>
          <w:szCs w:val="32"/>
        </w:rPr>
        <w:t>%。</w:t>
      </w:r>
    </w:p>
    <w:p>
      <w:pPr>
        <w:pageBreakBefore w:val="0"/>
        <w:kinsoku/>
        <w:wordWrap/>
        <w:overflowPunct/>
        <w:topLinePunct w:val="0"/>
        <w:bidi w:val="0"/>
        <w:adjustRightInd/>
        <w:snapToGrid/>
        <w:spacing w:line="240" w:lineRule="auto"/>
        <w:ind w:firstLine="640" w:firstLineChars="200"/>
        <w:textAlignment w:val="auto"/>
        <w:rPr>
          <w:rFonts w:hint="eastAsia" w:ascii="仿宋_GB2312" w:hAnsi="Times New Roman" w:eastAsia="仿宋_GB2312" w:cs="Wingdings"/>
          <w:color w:val="auto"/>
          <w:sz w:val="32"/>
          <w:szCs w:val="32"/>
        </w:rPr>
      </w:pPr>
    </w:p>
    <w:p>
      <w:pPr>
        <w:pageBreakBefore w:val="0"/>
        <w:kinsoku/>
        <w:wordWrap/>
        <w:overflowPunct/>
        <w:topLinePunct w:val="0"/>
        <w:bidi w:val="0"/>
        <w:adjustRightInd/>
        <w:snapToGrid/>
        <w:spacing w:line="240" w:lineRule="auto"/>
        <w:ind w:firstLine="640" w:firstLineChars="200"/>
        <w:textAlignment w:val="auto"/>
        <w:rPr>
          <w:rFonts w:hint="eastAsia" w:ascii="仿宋_GB2312" w:hAnsi="Times New Roman" w:eastAsia="仿宋_GB2312" w:cs="Wingdings"/>
          <w:color w:val="auto"/>
          <w:sz w:val="32"/>
          <w:szCs w:val="32"/>
        </w:rPr>
      </w:pPr>
      <w:r>
        <w:rPr>
          <w:rFonts w:hint="eastAsia" w:ascii="仿宋_GB2312" w:hAnsi="Times New Roman" w:eastAsia="仿宋_GB2312" w:cs="Wingdings"/>
          <w:color w:val="auto"/>
          <w:sz w:val="32"/>
          <w:szCs w:val="32"/>
          <w:lang w:eastAsia="zh-CN"/>
        </w:rPr>
        <w:drawing>
          <wp:inline distT="0" distB="0" distL="114300" distR="114300">
            <wp:extent cx="5116830" cy="3915410"/>
            <wp:effectExtent l="4445" t="4445" r="22225" b="23495"/>
            <wp:docPr id="18" name="图表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adjustRightInd w:val="0"/>
        <w:snapToGrid w:val="0"/>
        <w:spacing w:line="600" w:lineRule="exact"/>
        <w:ind w:left="420" w:leftChars="200"/>
        <w:rPr>
          <w:rFonts w:hint="eastAsia" w:ascii="楷体_GB2312" w:hAnsi="Times New Roman" w:eastAsia="楷体_GB2312" w:cs="Mongolian Baiti"/>
          <w:b/>
          <w:bCs/>
          <w:sz w:val="32"/>
          <w:szCs w:val="32"/>
        </w:rPr>
      </w:pPr>
    </w:p>
    <w:p>
      <w:pPr>
        <w:adjustRightInd w:val="0"/>
        <w:snapToGrid w:val="0"/>
        <w:spacing w:line="600" w:lineRule="exact"/>
        <w:ind w:left="420" w:leftChars="200"/>
        <w:rPr>
          <w:rFonts w:ascii="楷体_GB2312" w:hAnsi="Times New Roman" w:eastAsia="楷体_GB2312" w:cs="Mongolian Baiti"/>
          <w:b/>
          <w:bCs/>
          <w:color w:val="auto"/>
          <w:sz w:val="32"/>
          <w:szCs w:val="32"/>
        </w:rPr>
      </w:pPr>
      <w:r>
        <w:rPr>
          <w:rFonts w:hint="eastAsia" w:ascii="楷体_GB2312" w:hAnsi="Times New Roman" w:eastAsia="楷体_GB2312" w:cs="Mongolian Baiti"/>
          <w:b/>
          <w:bCs/>
          <w:color w:val="auto"/>
          <w:sz w:val="32"/>
          <w:szCs w:val="32"/>
        </w:rPr>
        <w:t>（四）一般公共预算基本支出决算情况说明</w:t>
      </w:r>
    </w:p>
    <w:p>
      <w:pPr>
        <w:adjustRightInd w:val="0"/>
        <w:snapToGrid w:val="0"/>
        <w:spacing w:line="600" w:lineRule="exact"/>
        <w:ind w:firstLine="640" w:firstLineChars="200"/>
        <w:rPr>
          <w:rFonts w:ascii="仿宋_GB2312" w:hAnsi="Times New Roman" w:eastAsia="仿宋_GB2312" w:cs="Wingdings"/>
          <w:color w:val="auto"/>
          <w:sz w:val="32"/>
          <w:szCs w:val="32"/>
        </w:rPr>
      </w:pPr>
      <w:r>
        <w:rPr>
          <w:rFonts w:hint="eastAsia" w:ascii="仿宋_GB2312" w:hAnsi="Times New Roman" w:eastAsia="仿宋_GB2312" w:cs="Wingdings"/>
          <w:color w:val="auto"/>
          <w:sz w:val="32"/>
          <w:szCs w:val="32"/>
        </w:rPr>
        <w:t>2020 年度财政拨款基本支出</w:t>
      </w:r>
      <w:r>
        <w:rPr>
          <w:rFonts w:hint="eastAsia" w:ascii="仿宋_GB2312" w:hAnsi="Times New Roman" w:eastAsia="仿宋_GB2312" w:cs="Wingdings"/>
          <w:color w:val="auto"/>
          <w:sz w:val="32"/>
          <w:szCs w:val="32"/>
          <w:lang w:val="en-US" w:eastAsia="zh-CN"/>
        </w:rPr>
        <w:t>813.57</w:t>
      </w:r>
      <w:r>
        <w:rPr>
          <w:rFonts w:hint="eastAsia" w:ascii="仿宋_GB2312" w:hAnsi="Times New Roman" w:eastAsia="仿宋_GB2312" w:cs="Wingdings"/>
          <w:color w:val="auto"/>
          <w:sz w:val="32"/>
          <w:szCs w:val="32"/>
        </w:rPr>
        <w:t xml:space="preserve">万元，其中：人员经费 </w:t>
      </w:r>
      <w:r>
        <w:rPr>
          <w:rFonts w:hint="eastAsia" w:ascii="仿宋_GB2312" w:hAnsi="Times New Roman" w:eastAsia="仿宋_GB2312" w:cs="Wingdings"/>
          <w:color w:val="auto"/>
          <w:sz w:val="32"/>
          <w:szCs w:val="32"/>
          <w:lang w:val="en-US" w:eastAsia="zh-CN"/>
        </w:rPr>
        <w:t>702.56</w:t>
      </w:r>
      <w:r>
        <w:rPr>
          <w:rFonts w:hint="eastAsia" w:ascii="仿宋_GB2312" w:hAnsi="Times New Roman" w:eastAsia="仿宋_GB2312" w:cs="Wingdings"/>
          <w:color w:val="auto"/>
          <w:sz w:val="32"/>
          <w:szCs w:val="32"/>
        </w:rPr>
        <w:t xml:space="preserve">万元，主要包括基本工资、津贴补贴、奖金、绩效工资、机关事业单位基本养老保险缴费、职业年金缴费、职工基本医疗保险缴费、其他社会保障缴费、住房公积金、其他工资福利支出、生活补助；公用经费 </w:t>
      </w:r>
      <w:r>
        <w:rPr>
          <w:rFonts w:hint="eastAsia" w:ascii="仿宋_GB2312" w:hAnsi="Times New Roman" w:eastAsia="仿宋_GB2312" w:cs="Wingdings"/>
          <w:color w:val="auto"/>
          <w:sz w:val="32"/>
          <w:szCs w:val="32"/>
          <w:lang w:val="en-US" w:eastAsia="zh-CN"/>
        </w:rPr>
        <w:t>111.01</w:t>
      </w:r>
      <w:r>
        <w:rPr>
          <w:rFonts w:hint="eastAsia" w:ascii="仿宋_GB2312" w:hAnsi="Times New Roman" w:eastAsia="仿宋_GB2312" w:cs="Wingdings"/>
          <w:color w:val="auto"/>
          <w:sz w:val="32"/>
          <w:szCs w:val="32"/>
        </w:rPr>
        <w:t>万元，主要包括办公费、印刷费、水费、电费、邮电费、取暖费、差旅费、维修（护）费、公务接待费、劳务费、福利费、公务用车运行维护费、其他交通费用、其他商品和服务支出、办公设备购置。</w: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600" w:lineRule="exact"/>
        <w:ind w:firstLine="643" w:firstLineChars="200"/>
        <w:rPr>
          <w:rFonts w:ascii="楷体_GB2312" w:hAnsi="Times New Roman" w:eastAsia="楷体_GB2312" w:cs="Mongolian Baiti"/>
          <w:b/>
          <w:bCs/>
          <w:color w:val="auto"/>
          <w:sz w:val="32"/>
          <w:szCs w:val="32"/>
        </w:rPr>
      </w:pPr>
      <w:r>
        <w:rPr>
          <w:rFonts w:hint="eastAsia" w:ascii="楷体_GB2312" w:hAnsi="Times New Roman" w:eastAsia="楷体_GB2312" w:cs="Mongolian Baiti"/>
          <w:b/>
          <w:bCs/>
          <w:color w:val="auto"/>
          <w:sz w:val="32"/>
          <w:szCs w:val="32"/>
        </w:rPr>
        <w:t>（一）“三公”经费财政拨款支出决算总体情况说明</w:t>
      </w:r>
    </w:p>
    <w:p>
      <w:pPr>
        <w:adjustRightInd w:val="0"/>
        <w:snapToGrid w:val="0"/>
        <w:spacing w:line="600" w:lineRule="exact"/>
        <w:ind w:firstLine="640" w:firstLineChars="200"/>
        <w:rPr>
          <w:rFonts w:ascii="仿宋_GB2312" w:hAnsi="Times New Roman" w:eastAsia="仿宋_GB2312" w:cs="Wingdings"/>
          <w:color w:val="auto"/>
          <w:sz w:val="32"/>
          <w:szCs w:val="32"/>
        </w:rPr>
      </w:pPr>
      <w:r>
        <w:rPr>
          <w:rFonts w:hint="eastAsia" w:ascii="仿宋_GB2312" w:hAnsi="Times New Roman" w:eastAsia="仿宋_GB2312" w:cs="Wingdings"/>
          <w:color w:val="auto"/>
          <w:sz w:val="32"/>
          <w:szCs w:val="32"/>
        </w:rPr>
        <w:t>本部门2020年度“三公”经费财政拨款支出预算为</w:t>
      </w:r>
      <w:r>
        <w:rPr>
          <w:rFonts w:hint="eastAsia" w:ascii="仿宋_GB2312" w:hAnsi="Times New Roman" w:eastAsia="仿宋_GB2312" w:cs="Wingdings"/>
          <w:color w:val="auto"/>
          <w:sz w:val="32"/>
          <w:szCs w:val="32"/>
          <w:lang w:val="en-US" w:eastAsia="zh-CN"/>
        </w:rPr>
        <w:t>8.7</w:t>
      </w:r>
      <w:r>
        <w:rPr>
          <w:rFonts w:hint="eastAsia" w:ascii="仿宋_GB2312" w:hAnsi="Times New Roman" w:eastAsia="仿宋_GB2312" w:cs="Wingdings"/>
          <w:color w:val="auto"/>
          <w:sz w:val="32"/>
          <w:szCs w:val="32"/>
        </w:rPr>
        <w:t>万元，支出决算为</w:t>
      </w:r>
      <w:r>
        <w:rPr>
          <w:rFonts w:hint="eastAsia" w:ascii="仿宋_GB2312" w:hAnsi="Times New Roman" w:eastAsia="仿宋_GB2312" w:cs="Wingdings"/>
          <w:color w:val="auto"/>
          <w:sz w:val="32"/>
          <w:szCs w:val="32"/>
          <w:lang w:val="en-US" w:eastAsia="zh-CN"/>
        </w:rPr>
        <w:t>5.57</w:t>
      </w:r>
      <w:r>
        <w:rPr>
          <w:rFonts w:hint="eastAsia" w:ascii="仿宋_GB2312" w:hAnsi="Times New Roman" w:eastAsia="仿宋_GB2312" w:cs="Wingdings"/>
          <w:color w:val="auto"/>
          <w:sz w:val="32"/>
          <w:szCs w:val="32"/>
        </w:rPr>
        <w:t>元，完成预算的</w:t>
      </w:r>
      <w:r>
        <w:rPr>
          <w:rFonts w:hint="eastAsia" w:ascii="仿宋_GB2312" w:hAnsi="Times New Roman" w:eastAsia="仿宋_GB2312" w:cs="Wingdings"/>
          <w:color w:val="auto"/>
          <w:sz w:val="32"/>
          <w:szCs w:val="32"/>
          <w:lang w:val="en-US" w:eastAsia="zh-CN"/>
        </w:rPr>
        <w:t>64.02</w:t>
      </w:r>
      <w:r>
        <w:rPr>
          <w:rFonts w:hint="eastAsia" w:ascii="仿宋_GB2312" w:hAnsi="Times New Roman" w:eastAsia="仿宋_GB2312" w:cs="Wingdings"/>
          <w:color w:val="auto"/>
          <w:sz w:val="32"/>
          <w:szCs w:val="32"/>
        </w:rPr>
        <w:t>%</w:t>
      </w:r>
      <w:r>
        <w:rPr>
          <w:rFonts w:hint="eastAsia" w:ascii="仿宋_GB2312" w:hAnsi="Times New Roman" w:eastAsia="仿宋_GB2312" w:cs="Wingdings"/>
          <w:color w:val="auto"/>
          <w:sz w:val="32"/>
          <w:szCs w:val="32"/>
          <w:lang w:eastAsia="zh-CN"/>
        </w:rPr>
        <w:t>，</w:t>
      </w:r>
      <w:r>
        <w:rPr>
          <w:rFonts w:hint="eastAsia" w:ascii="仿宋_GB2312" w:hAnsi="Times New Roman" w:eastAsia="仿宋_GB2312" w:cs="Wingdings"/>
          <w:color w:val="auto"/>
          <w:sz w:val="32"/>
          <w:szCs w:val="32"/>
        </w:rPr>
        <w:t>较预算减少</w:t>
      </w:r>
      <w:r>
        <w:rPr>
          <w:rFonts w:hint="eastAsia" w:ascii="仿宋_GB2312" w:hAnsi="Times New Roman" w:eastAsia="仿宋_GB2312" w:cs="Wingdings"/>
          <w:color w:val="auto"/>
          <w:sz w:val="32"/>
          <w:szCs w:val="32"/>
          <w:lang w:val="en-US" w:eastAsia="zh-CN"/>
        </w:rPr>
        <w:t>3.13</w:t>
      </w:r>
      <w:r>
        <w:rPr>
          <w:rFonts w:hint="eastAsia" w:ascii="仿宋_GB2312" w:hAnsi="Times New Roman" w:eastAsia="仿宋_GB2312" w:cs="Wingdings"/>
          <w:color w:val="auto"/>
          <w:sz w:val="32"/>
          <w:szCs w:val="32"/>
        </w:rPr>
        <w:t>万元，降低</w:t>
      </w:r>
      <w:r>
        <w:rPr>
          <w:rFonts w:hint="eastAsia" w:ascii="仿宋_GB2312" w:hAnsi="Times New Roman" w:eastAsia="仿宋_GB2312" w:cs="Wingdings"/>
          <w:color w:val="auto"/>
          <w:sz w:val="32"/>
          <w:szCs w:val="32"/>
          <w:lang w:val="en-US" w:eastAsia="zh-CN"/>
        </w:rPr>
        <w:t>35.98</w:t>
      </w:r>
      <w:r>
        <w:rPr>
          <w:rFonts w:hint="eastAsia" w:ascii="仿宋_GB2312" w:hAnsi="Times New Roman" w:eastAsia="仿宋_GB2312" w:cs="Wingdings"/>
          <w:color w:val="auto"/>
          <w:sz w:val="32"/>
          <w:szCs w:val="32"/>
        </w:rPr>
        <w:t>%，主要是</w:t>
      </w:r>
      <w:r>
        <w:rPr>
          <w:rFonts w:hint="eastAsia" w:ascii="仿宋_GB2312" w:eastAsia="仿宋_GB2312" w:cs="DengXian-Regular"/>
          <w:color w:val="auto"/>
          <w:sz w:val="32"/>
          <w:szCs w:val="32"/>
          <w:highlight w:val="none"/>
        </w:rPr>
        <w:t>认真贯彻落实中央八项规定精神和厉行节约要求，</w:t>
      </w:r>
      <w:r>
        <w:rPr>
          <w:rFonts w:hint="eastAsia" w:ascii="仿宋_GB2312" w:eastAsia="仿宋_GB2312" w:cs="DengXian-Regular"/>
          <w:color w:val="auto"/>
          <w:sz w:val="32"/>
          <w:szCs w:val="32"/>
          <w:highlight w:val="none"/>
          <w:lang w:eastAsia="zh-CN"/>
        </w:rPr>
        <w:t>从</w:t>
      </w:r>
      <w:r>
        <w:rPr>
          <w:rFonts w:hint="eastAsia" w:ascii="仿宋_GB2312" w:hAnsi="Times New Roman" w:eastAsia="仿宋_GB2312" w:cs="DengXian-Regular"/>
          <w:color w:val="auto"/>
          <w:sz w:val="32"/>
          <w:szCs w:val="32"/>
        </w:rPr>
        <w:t>严控</w:t>
      </w:r>
      <w:r>
        <w:rPr>
          <w:rFonts w:hint="eastAsia" w:ascii="仿宋_GB2312" w:hAnsi="Times New Roman" w:eastAsia="仿宋_GB2312" w:cs="DengXian-Regular"/>
          <w:color w:val="auto"/>
          <w:sz w:val="32"/>
          <w:szCs w:val="32"/>
          <w:lang w:eastAsia="zh-CN"/>
        </w:rPr>
        <w:t>制</w:t>
      </w:r>
      <w:r>
        <w:rPr>
          <w:rFonts w:hint="eastAsia" w:ascii="仿宋_GB2312" w:hAnsi="Times New Roman" w:eastAsia="仿宋_GB2312" w:cs="DengXian-Regular"/>
          <w:color w:val="auto"/>
          <w:sz w:val="32"/>
          <w:szCs w:val="32"/>
        </w:rPr>
        <w:t>“三公”经费</w:t>
      </w:r>
      <w:r>
        <w:rPr>
          <w:rFonts w:hint="eastAsia" w:ascii="仿宋_GB2312" w:hAnsi="Times New Roman" w:eastAsia="仿宋_GB2312" w:cs="DengXian-Regular"/>
          <w:color w:val="auto"/>
          <w:sz w:val="32"/>
          <w:szCs w:val="32"/>
          <w:lang w:eastAsia="zh-CN"/>
        </w:rPr>
        <w:t>开支</w:t>
      </w:r>
      <w:r>
        <w:rPr>
          <w:rFonts w:hint="eastAsia" w:ascii="仿宋_GB2312" w:hAnsi="Times New Roman" w:eastAsia="仿宋_GB2312" w:cs="DengXian-Regular"/>
          <w:color w:val="auto"/>
          <w:sz w:val="32"/>
          <w:szCs w:val="32"/>
        </w:rPr>
        <w:t>，各项支出均控制在预算批复额度内</w:t>
      </w:r>
      <w:r>
        <w:rPr>
          <w:rFonts w:hint="eastAsia" w:ascii="仿宋_GB2312" w:hAnsi="Times New Roman" w:eastAsia="仿宋_GB2312" w:cs="DengXian-Regular"/>
          <w:color w:val="auto"/>
          <w:sz w:val="32"/>
          <w:szCs w:val="32"/>
          <w:lang w:eastAsia="zh-CN"/>
        </w:rPr>
        <w:t>，</w:t>
      </w:r>
      <w:r>
        <w:rPr>
          <w:rFonts w:hint="eastAsia" w:ascii="仿宋_GB2312" w:eastAsia="仿宋_GB2312" w:cs="DengXian-Regular"/>
          <w:color w:val="auto"/>
          <w:sz w:val="32"/>
          <w:szCs w:val="32"/>
        </w:rPr>
        <w:t>全年实际支出比预算有所节约</w:t>
      </w:r>
      <w:r>
        <w:rPr>
          <w:rFonts w:hint="eastAsia" w:ascii="仿宋_GB2312" w:hAnsi="Times New Roman" w:eastAsia="仿宋_GB2312" w:cs="DengXian-Regular"/>
          <w:color w:val="auto"/>
          <w:sz w:val="32"/>
          <w:szCs w:val="32"/>
        </w:rPr>
        <w:t>；</w:t>
      </w:r>
      <w:r>
        <w:rPr>
          <w:rFonts w:hint="eastAsia" w:ascii="仿宋_GB2312" w:hAnsi="Times New Roman" w:eastAsia="仿宋_GB2312" w:cs="Wingdings"/>
          <w:color w:val="auto"/>
          <w:sz w:val="32"/>
          <w:szCs w:val="32"/>
        </w:rPr>
        <w:t>较2019年度减少</w:t>
      </w:r>
      <w:r>
        <w:rPr>
          <w:rFonts w:hint="eastAsia" w:ascii="仿宋_GB2312" w:hAnsi="Times New Roman" w:eastAsia="仿宋_GB2312" w:cs="Wingdings"/>
          <w:color w:val="auto"/>
          <w:sz w:val="32"/>
          <w:szCs w:val="32"/>
          <w:lang w:val="en-US" w:eastAsia="zh-CN"/>
        </w:rPr>
        <w:t>2.43</w:t>
      </w:r>
      <w:r>
        <w:rPr>
          <w:rFonts w:hint="eastAsia" w:ascii="仿宋_GB2312" w:hAnsi="Times New Roman" w:eastAsia="仿宋_GB2312" w:cs="Wingdings"/>
          <w:color w:val="auto"/>
          <w:sz w:val="32"/>
          <w:szCs w:val="32"/>
        </w:rPr>
        <w:t>万元，降低</w:t>
      </w:r>
      <w:r>
        <w:rPr>
          <w:rFonts w:hint="eastAsia" w:ascii="仿宋_GB2312" w:hAnsi="Times New Roman" w:eastAsia="仿宋_GB2312" w:cs="Wingdings"/>
          <w:color w:val="auto"/>
          <w:sz w:val="32"/>
          <w:szCs w:val="32"/>
          <w:lang w:val="en-US" w:eastAsia="zh-CN"/>
        </w:rPr>
        <w:t>30.38</w:t>
      </w:r>
      <w:r>
        <w:rPr>
          <w:rFonts w:hint="eastAsia" w:ascii="仿宋_GB2312" w:hAnsi="Times New Roman" w:eastAsia="仿宋_GB2312" w:cs="Wingdings"/>
          <w:color w:val="auto"/>
          <w:sz w:val="32"/>
          <w:szCs w:val="32"/>
        </w:rPr>
        <w:t>%，主要是</w:t>
      </w:r>
      <w:r>
        <w:rPr>
          <w:rFonts w:hint="eastAsia" w:ascii="仿宋_GB2312" w:eastAsia="仿宋_GB2312" w:cs="DengXian-Regular"/>
          <w:color w:val="auto"/>
          <w:sz w:val="32"/>
          <w:szCs w:val="32"/>
          <w:highlight w:val="none"/>
        </w:rPr>
        <w:t>认真贯彻落实中央八项规定精神和厉行节约要求，</w:t>
      </w:r>
      <w:r>
        <w:rPr>
          <w:rFonts w:hint="eastAsia" w:ascii="仿宋_GB2312" w:hAnsi="Times New Roman" w:eastAsia="仿宋_GB2312" w:cs="DengXian-Regular"/>
          <w:color w:val="auto"/>
          <w:sz w:val="32"/>
          <w:szCs w:val="32"/>
        </w:rPr>
        <w:t>严控“三公”经费</w:t>
      </w:r>
      <w:r>
        <w:rPr>
          <w:rFonts w:hint="eastAsia" w:ascii="仿宋_GB2312" w:hAnsi="Times New Roman" w:eastAsia="仿宋_GB2312" w:cs="DengXian-Regular"/>
          <w:color w:val="auto"/>
          <w:sz w:val="32"/>
          <w:szCs w:val="32"/>
          <w:lang w:eastAsia="zh-CN"/>
        </w:rPr>
        <w:t>支出</w:t>
      </w:r>
      <w:r>
        <w:rPr>
          <w:rFonts w:hint="eastAsia" w:ascii="仿宋_GB2312" w:hAnsi="Times New Roman" w:eastAsia="仿宋_GB2312" w:cs="DengXian-Regular"/>
          <w:color w:val="auto"/>
          <w:sz w:val="32"/>
          <w:szCs w:val="32"/>
        </w:rPr>
        <w:t>，“三公”经费</w:t>
      </w:r>
      <w:r>
        <w:rPr>
          <w:rFonts w:hint="eastAsia" w:ascii="仿宋_GB2312" w:hAnsi="Times New Roman" w:eastAsia="仿宋_GB2312" w:cs="DengXian-Regular"/>
          <w:color w:val="auto"/>
          <w:sz w:val="32"/>
          <w:szCs w:val="32"/>
          <w:lang w:eastAsia="zh-CN"/>
        </w:rPr>
        <w:t>支出减少。</w:t>
      </w:r>
    </w:p>
    <w:p>
      <w:pPr>
        <w:adjustRightInd w:val="0"/>
        <w:snapToGrid w:val="0"/>
        <w:spacing w:line="600" w:lineRule="exact"/>
        <w:ind w:firstLine="643" w:firstLineChars="200"/>
        <w:rPr>
          <w:rFonts w:ascii="楷体_GB2312" w:hAnsi="Times New Roman" w:eastAsia="楷体_GB2312" w:cs="Mongolian Baiti"/>
          <w:b/>
          <w:bCs/>
          <w:color w:val="auto"/>
          <w:sz w:val="32"/>
          <w:szCs w:val="32"/>
        </w:rPr>
      </w:pPr>
      <w:r>
        <w:rPr>
          <w:rFonts w:hint="eastAsia" w:ascii="楷体_GB2312" w:hAnsi="Times New Roman" w:eastAsia="楷体_GB2312" w:cs="Mongolian Baiti"/>
          <w:b/>
          <w:bCs/>
          <w:color w:val="auto"/>
          <w:sz w:val="32"/>
          <w:szCs w:val="32"/>
        </w:rPr>
        <w:t>（二）“三公”经费财政拨款支出决算具体情况说明</w:t>
      </w:r>
    </w:p>
    <w:p>
      <w:pPr>
        <w:adjustRightInd w:val="0"/>
        <w:snapToGrid w:val="0"/>
        <w:spacing w:line="600" w:lineRule="exact"/>
        <w:ind w:firstLine="643" w:firstLineChars="200"/>
        <w:rPr>
          <w:rFonts w:hint="eastAsia" w:ascii="仿宋_GB2312" w:hAnsi="Times New Roman" w:eastAsia="仿宋_GB2312" w:cs="Wingdings"/>
          <w:color w:val="auto"/>
          <w:sz w:val="32"/>
          <w:szCs w:val="32"/>
        </w:rPr>
      </w:pPr>
      <w:r>
        <w:rPr>
          <w:rFonts w:hint="eastAsia" w:ascii="楷体_GB2312" w:hAnsi="Times New Roman" w:eastAsia="楷体_GB2312" w:cs="Mongolian Baiti"/>
          <w:b/>
          <w:bCs/>
          <w:color w:val="auto"/>
          <w:sz w:val="32"/>
          <w:szCs w:val="32"/>
        </w:rPr>
        <w:t>1.因公出国（境）费。</w:t>
      </w:r>
      <w:r>
        <w:rPr>
          <w:rFonts w:hint="eastAsia" w:ascii="仿宋_GB2312" w:hAnsi="仿宋_GB2312" w:eastAsia="仿宋_GB2312" w:cs="仿宋_GB2312"/>
          <w:color w:val="auto"/>
          <w:sz w:val="32"/>
          <w:szCs w:val="32"/>
        </w:rPr>
        <w:t>本部门2020年</w:t>
      </w:r>
      <w:r>
        <w:rPr>
          <w:rFonts w:hint="eastAsia" w:ascii="仿宋" w:hAnsi="仿宋" w:eastAsia="仿宋" w:cs="仿宋"/>
          <w:color w:val="auto"/>
          <w:kern w:val="0"/>
          <w:sz w:val="32"/>
          <w:szCs w:val="32"/>
          <w:highlight w:val="none"/>
        </w:rPr>
        <w:t>未发生</w:t>
      </w:r>
      <w:r>
        <w:rPr>
          <w:rFonts w:hint="eastAsia" w:ascii="仿宋" w:hAnsi="仿宋" w:eastAsia="仿宋" w:cs="仿宋"/>
          <w:color w:val="auto"/>
          <w:kern w:val="0"/>
          <w:sz w:val="32"/>
          <w:szCs w:val="32"/>
          <w:highlight w:val="none"/>
          <w:lang w:val="en-US" w:eastAsia="zh-CN"/>
        </w:rPr>
        <w:t>“</w:t>
      </w:r>
      <w:r>
        <w:rPr>
          <w:rFonts w:hint="eastAsia" w:ascii="仿宋" w:hAnsi="仿宋" w:eastAsia="仿宋" w:cs="仿宋"/>
          <w:color w:val="auto"/>
          <w:kern w:val="0"/>
          <w:sz w:val="32"/>
          <w:szCs w:val="32"/>
          <w:highlight w:val="none"/>
        </w:rPr>
        <w:t>因公出国（境）</w:t>
      </w:r>
      <w:r>
        <w:rPr>
          <w:rFonts w:hint="eastAsia" w:ascii="仿宋" w:hAnsi="仿宋" w:eastAsia="仿宋" w:cs="仿宋"/>
          <w:color w:val="auto"/>
          <w:kern w:val="0"/>
          <w:sz w:val="32"/>
          <w:szCs w:val="32"/>
          <w:highlight w:val="none"/>
          <w:lang w:val="en-US" w:eastAsia="zh-CN"/>
        </w:rPr>
        <w:t>”</w:t>
      </w:r>
      <w:r>
        <w:rPr>
          <w:rFonts w:hint="eastAsia" w:ascii="仿宋" w:hAnsi="仿宋" w:eastAsia="仿宋" w:cs="仿宋"/>
          <w:color w:val="auto"/>
          <w:kern w:val="0"/>
          <w:sz w:val="32"/>
          <w:szCs w:val="32"/>
          <w:highlight w:val="none"/>
        </w:rPr>
        <w:t>经费支出，</w:t>
      </w:r>
      <w:r>
        <w:rPr>
          <w:rFonts w:hint="eastAsia" w:ascii="仿宋_GB2312" w:eastAsia="仿宋_GB2312" w:cs="DengXian-Regular"/>
          <w:color w:val="auto"/>
          <w:sz w:val="32"/>
          <w:szCs w:val="32"/>
          <w:highlight w:val="none"/>
        </w:rPr>
        <w:t>与预算持平</w:t>
      </w:r>
      <w:r>
        <w:rPr>
          <w:rFonts w:hint="eastAsia" w:ascii="仿宋_GB2312" w:hAnsi="仿宋_GB2312" w:eastAsia="仿宋_GB2312" w:cs="仿宋_GB2312"/>
          <w:color w:val="auto"/>
          <w:sz w:val="32"/>
          <w:szCs w:val="32"/>
        </w:rPr>
        <w:t>。</w:t>
      </w:r>
      <w:r>
        <w:rPr>
          <w:rFonts w:hint="eastAsia" w:ascii="仿宋_GB2312" w:hAnsi="Times New Roman" w:eastAsia="仿宋_GB2312" w:cs="Wingdings"/>
          <w:color w:val="auto"/>
          <w:sz w:val="32"/>
          <w:szCs w:val="32"/>
        </w:rPr>
        <w:t>因公出国（境）团组</w:t>
      </w:r>
      <w:r>
        <w:rPr>
          <w:rFonts w:hint="eastAsia" w:ascii="仿宋_GB2312" w:hAnsi="Times New Roman" w:eastAsia="仿宋_GB2312" w:cs="Wingdings"/>
          <w:color w:val="auto"/>
          <w:sz w:val="32"/>
          <w:szCs w:val="32"/>
          <w:lang w:val="en-US" w:eastAsia="zh-CN"/>
        </w:rPr>
        <w:t>0</w:t>
      </w:r>
      <w:r>
        <w:rPr>
          <w:rFonts w:hint="eastAsia" w:ascii="仿宋_GB2312" w:hAnsi="Times New Roman" w:eastAsia="仿宋_GB2312" w:cs="Wingdings"/>
          <w:color w:val="auto"/>
          <w:sz w:val="32"/>
          <w:szCs w:val="32"/>
        </w:rPr>
        <w:t>个、共</w:t>
      </w:r>
      <w:r>
        <w:rPr>
          <w:rFonts w:hint="eastAsia" w:ascii="仿宋_GB2312" w:hAnsi="Times New Roman" w:eastAsia="仿宋_GB2312" w:cs="Wingdings"/>
          <w:color w:val="auto"/>
          <w:sz w:val="32"/>
          <w:szCs w:val="32"/>
          <w:lang w:val="en-US" w:eastAsia="zh-CN"/>
        </w:rPr>
        <w:t>0</w:t>
      </w:r>
      <w:r>
        <w:rPr>
          <w:rFonts w:hint="eastAsia" w:ascii="仿宋_GB2312" w:hAnsi="Times New Roman" w:eastAsia="仿宋_GB2312" w:cs="Wingdings"/>
          <w:color w:val="auto"/>
          <w:sz w:val="32"/>
          <w:szCs w:val="32"/>
        </w:rPr>
        <w:t>人、参加其他单位组织的因公出国（境）团组</w:t>
      </w:r>
      <w:r>
        <w:rPr>
          <w:rFonts w:hint="eastAsia" w:ascii="仿宋_GB2312" w:hAnsi="Times New Roman" w:eastAsia="仿宋_GB2312" w:cs="Wingdings"/>
          <w:color w:val="auto"/>
          <w:sz w:val="32"/>
          <w:szCs w:val="32"/>
          <w:lang w:val="en-US" w:eastAsia="zh-CN"/>
        </w:rPr>
        <w:t>0</w:t>
      </w:r>
      <w:r>
        <w:rPr>
          <w:rFonts w:hint="eastAsia" w:ascii="仿宋_GB2312" w:hAnsi="Times New Roman" w:eastAsia="仿宋_GB2312" w:cs="Wingdings"/>
          <w:color w:val="auto"/>
          <w:sz w:val="32"/>
          <w:szCs w:val="32"/>
        </w:rPr>
        <w:t>个、共</w:t>
      </w:r>
      <w:r>
        <w:rPr>
          <w:rFonts w:hint="eastAsia" w:ascii="仿宋_GB2312" w:hAnsi="Times New Roman" w:eastAsia="仿宋_GB2312" w:cs="Wingdings"/>
          <w:color w:val="auto"/>
          <w:sz w:val="32"/>
          <w:szCs w:val="32"/>
          <w:lang w:val="en-US" w:eastAsia="zh-CN"/>
        </w:rPr>
        <w:t>0</w:t>
      </w:r>
      <w:r>
        <w:rPr>
          <w:rFonts w:hint="eastAsia" w:ascii="仿宋_GB2312" w:hAnsi="Times New Roman" w:eastAsia="仿宋_GB2312" w:cs="Wingdings"/>
          <w:color w:val="auto"/>
          <w:sz w:val="32"/>
          <w:szCs w:val="32"/>
        </w:rPr>
        <w:t>人</w:t>
      </w:r>
      <w:r>
        <w:rPr>
          <w:rFonts w:hint="eastAsia" w:ascii="仿宋_GB2312" w:hAnsi="Times New Roman" w:eastAsia="仿宋_GB2312" w:cs="Wingdings"/>
          <w:color w:val="auto"/>
          <w:sz w:val="32"/>
          <w:szCs w:val="32"/>
          <w:lang w:eastAsia="zh-CN"/>
        </w:rPr>
        <w:t>，</w:t>
      </w:r>
      <w:r>
        <w:rPr>
          <w:rFonts w:hint="eastAsia" w:ascii="仿宋_GB2312" w:hAnsi="Times New Roman" w:eastAsia="仿宋_GB2312" w:cs="Wingdings"/>
          <w:color w:val="auto"/>
          <w:sz w:val="32"/>
          <w:szCs w:val="32"/>
        </w:rPr>
        <w:t>无本单位组织的出国（境）团组。因公出国（境）费支出较预算</w:t>
      </w:r>
      <w:r>
        <w:rPr>
          <w:rFonts w:hint="eastAsia" w:ascii="仿宋" w:hAnsi="仿宋" w:eastAsia="仿宋" w:cs="仿宋"/>
          <w:color w:val="auto"/>
          <w:kern w:val="0"/>
          <w:sz w:val="32"/>
          <w:szCs w:val="32"/>
          <w:highlight w:val="none"/>
        </w:rPr>
        <w:t>无增减变化，</w:t>
      </w:r>
      <w:r>
        <w:rPr>
          <w:rFonts w:hint="eastAsia" w:ascii="仿宋_GB2312" w:eastAsia="仿宋_GB2312" w:cs="DengXian-Regular"/>
          <w:color w:val="auto"/>
          <w:sz w:val="32"/>
          <w:szCs w:val="32"/>
          <w:highlight w:val="none"/>
        </w:rPr>
        <w:t>与预算持平</w:t>
      </w:r>
      <w:r>
        <w:rPr>
          <w:rFonts w:hint="eastAsia" w:ascii="仿宋" w:hAnsi="仿宋" w:eastAsia="仿宋" w:cs="仿宋"/>
          <w:color w:val="auto"/>
          <w:kern w:val="0"/>
          <w:sz w:val="32"/>
          <w:szCs w:val="32"/>
          <w:highlight w:val="none"/>
          <w:lang w:eastAsia="zh-CN"/>
        </w:rPr>
        <w:t>，</w:t>
      </w:r>
      <w:r>
        <w:rPr>
          <w:rFonts w:hint="eastAsia" w:ascii="仿宋_GB2312" w:eastAsia="仿宋_GB2312" w:cs="DengXian-Regular"/>
          <w:color w:val="auto"/>
          <w:sz w:val="32"/>
          <w:szCs w:val="32"/>
          <w:lang w:eastAsia="zh-CN"/>
        </w:rPr>
        <w:t>主要原因是贯彻落实有关规定，严控</w:t>
      </w:r>
      <w:r>
        <w:rPr>
          <w:rFonts w:hint="eastAsia" w:ascii="仿宋_GB2312" w:eastAsia="仿宋_GB2312" w:cs="DengXian-Regular"/>
          <w:color w:val="auto"/>
          <w:sz w:val="32"/>
          <w:szCs w:val="32"/>
        </w:rPr>
        <w:t>因公出国（境）</w:t>
      </w:r>
      <w:r>
        <w:rPr>
          <w:rFonts w:hint="eastAsia" w:ascii="仿宋_GB2312" w:eastAsia="仿宋_GB2312" w:cs="DengXian-Regular"/>
          <w:color w:val="auto"/>
          <w:sz w:val="32"/>
          <w:szCs w:val="32"/>
          <w:lang w:eastAsia="zh-CN"/>
        </w:rPr>
        <w:t>活动，本年</w:t>
      </w:r>
      <w:r>
        <w:rPr>
          <w:rFonts w:hint="eastAsia" w:ascii="仿宋" w:hAnsi="仿宋" w:eastAsia="仿宋" w:cs="仿宋"/>
          <w:color w:val="auto"/>
          <w:kern w:val="0"/>
          <w:sz w:val="32"/>
          <w:szCs w:val="32"/>
          <w:highlight w:val="none"/>
        </w:rPr>
        <w:t>本部门</w:t>
      </w:r>
      <w:r>
        <w:rPr>
          <w:rFonts w:hint="eastAsia" w:ascii="仿宋_GB2312" w:eastAsia="仿宋_GB2312" w:cs="DengXian-Regular"/>
          <w:color w:val="auto"/>
          <w:sz w:val="32"/>
          <w:szCs w:val="32"/>
          <w:lang w:eastAsia="zh-CN"/>
        </w:rPr>
        <w:t>无</w:t>
      </w:r>
      <w:r>
        <w:rPr>
          <w:rFonts w:hint="eastAsia" w:ascii="仿宋_GB2312" w:eastAsia="仿宋_GB2312" w:cs="DengXian-Regular"/>
          <w:color w:val="auto"/>
          <w:sz w:val="32"/>
          <w:szCs w:val="32"/>
        </w:rPr>
        <w:t>因公出国（境）</w:t>
      </w:r>
      <w:r>
        <w:rPr>
          <w:rFonts w:hint="eastAsia" w:ascii="仿宋_GB2312" w:eastAsia="仿宋_GB2312" w:cs="DengXian-Regular"/>
          <w:color w:val="auto"/>
          <w:sz w:val="32"/>
          <w:szCs w:val="32"/>
          <w:lang w:eastAsia="zh-CN"/>
        </w:rPr>
        <w:t>活动；</w:t>
      </w:r>
      <w:r>
        <w:rPr>
          <w:rFonts w:hint="eastAsia" w:ascii="仿宋_GB2312" w:hAnsi="Times New Roman" w:eastAsia="仿宋_GB2312" w:cs="Wingdings"/>
          <w:color w:val="auto"/>
          <w:sz w:val="32"/>
          <w:szCs w:val="32"/>
        </w:rPr>
        <w:t>较上年</w:t>
      </w:r>
      <w:r>
        <w:rPr>
          <w:rFonts w:hint="eastAsia" w:ascii="仿宋" w:hAnsi="仿宋" w:eastAsia="仿宋" w:cs="仿宋"/>
          <w:color w:val="auto"/>
          <w:kern w:val="0"/>
          <w:sz w:val="32"/>
          <w:szCs w:val="32"/>
          <w:highlight w:val="none"/>
        </w:rPr>
        <w:t>无增减变化，</w:t>
      </w:r>
      <w:r>
        <w:rPr>
          <w:rFonts w:hint="eastAsia" w:ascii="仿宋_GB2312" w:eastAsia="仿宋_GB2312" w:cs="DengXian-Regular"/>
          <w:color w:val="auto"/>
          <w:sz w:val="32"/>
          <w:szCs w:val="32"/>
          <w:highlight w:val="none"/>
        </w:rPr>
        <w:t>与</w:t>
      </w:r>
      <w:r>
        <w:rPr>
          <w:rFonts w:hint="eastAsia" w:ascii="仿宋_GB2312" w:eastAsia="仿宋_GB2312" w:cs="DengXian-Regular"/>
          <w:color w:val="auto"/>
          <w:sz w:val="32"/>
          <w:szCs w:val="32"/>
          <w:highlight w:val="none"/>
          <w:lang w:eastAsia="zh-CN"/>
        </w:rPr>
        <w:t>上年</w:t>
      </w:r>
      <w:r>
        <w:rPr>
          <w:rFonts w:hint="eastAsia" w:ascii="仿宋_GB2312" w:eastAsia="仿宋_GB2312" w:cs="DengXian-Regular"/>
          <w:color w:val="auto"/>
          <w:sz w:val="32"/>
          <w:szCs w:val="32"/>
          <w:highlight w:val="none"/>
        </w:rPr>
        <w:t>持平</w:t>
      </w:r>
      <w:r>
        <w:rPr>
          <w:rFonts w:hint="eastAsia" w:ascii="仿宋" w:hAnsi="仿宋" w:eastAsia="仿宋" w:cs="仿宋"/>
          <w:color w:val="auto"/>
          <w:kern w:val="0"/>
          <w:sz w:val="32"/>
          <w:szCs w:val="32"/>
          <w:highlight w:val="none"/>
          <w:lang w:eastAsia="zh-CN"/>
        </w:rPr>
        <w:t>，</w:t>
      </w:r>
      <w:r>
        <w:rPr>
          <w:rFonts w:hint="eastAsia" w:ascii="仿宋_GB2312" w:hAnsi="Times New Roman" w:eastAsia="仿宋_GB2312" w:cs="Wingdings"/>
          <w:color w:val="auto"/>
          <w:sz w:val="32"/>
          <w:szCs w:val="32"/>
        </w:rPr>
        <w:t>主要是</w:t>
      </w:r>
      <w:r>
        <w:rPr>
          <w:rFonts w:hint="eastAsia" w:ascii="仿宋_GB2312" w:eastAsia="仿宋_GB2312" w:cs="DengXian-Regular"/>
          <w:color w:val="auto"/>
          <w:sz w:val="32"/>
          <w:szCs w:val="32"/>
          <w:lang w:eastAsia="zh-CN"/>
        </w:rPr>
        <w:t>贯彻落实有关规定，严控</w:t>
      </w:r>
      <w:r>
        <w:rPr>
          <w:rFonts w:hint="eastAsia" w:ascii="仿宋_GB2312" w:eastAsia="仿宋_GB2312" w:cs="DengXian-Regular"/>
          <w:color w:val="auto"/>
          <w:sz w:val="32"/>
          <w:szCs w:val="32"/>
        </w:rPr>
        <w:t>因公出国（境）</w:t>
      </w:r>
      <w:r>
        <w:rPr>
          <w:rFonts w:hint="eastAsia" w:ascii="仿宋_GB2312" w:eastAsia="仿宋_GB2312" w:cs="DengXian-Regular"/>
          <w:color w:val="auto"/>
          <w:sz w:val="32"/>
          <w:szCs w:val="32"/>
          <w:lang w:eastAsia="zh-CN"/>
        </w:rPr>
        <w:t>活动，本年</w:t>
      </w:r>
      <w:r>
        <w:rPr>
          <w:rFonts w:hint="eastAsia" w:ascii="仿宋" w:hAnsi="仿宋" w:eastAsia="仿宋" w:cs="仿宋"/>
          <w:color w:val="auto"/>
          <w:kern w:val="0"/>
          <w:sz w:val="32"/>
          <w:szCs w:val="32"/>
          <w:highlight w:val="none"/>
        </w:rPr>
        <w:t>本部门</w:t>
      </w:r>
      <w:r>
        <w:rPr>
          <w:rFonts w:hint="eastAsia" w:ascii="仿宋_GB2312" w:eastAsia="仿宋_GB2312" w:cs="DengXian-Regular"/>
          <w:color w:val="auto"/>
          <w:sz w:val="32"/>
          <w:szCs w:val="32"/>
          <w:lang w:eastAsia="zh-CN"/>
        </w:rPr>
        <w:t>无</w:t>
      </w:r>
      <w:r>
        <w:rPr>
          <w:rFonts w:hint="eastAsia" w:ascii="仿宋_GB2312" w:eastAsia="仿宋_GB2312" w:cs="DengXian-Regular"/>
          <w:color w:val="auto"/>
          <w:sz w:val="32"/>
          <w:szCs w:val="32"/>
        </w:rPr>
        <w:t>因公出国（境）</w:t>
      </w:r>
      <w:r>
        <w:rPr>
          <w:rFonts w:hint="eastAsia" w:ascii="仿宋_GB2312" w:eastAsia="仿宋_GB2312" w:cs="DengXian-Regular"/>
          <w:color w:val="auto"/>
          <w:sz w:val="32"/>
          <w:szCs w:val="32"/>
          <w:lang w:eastAsia="zh-CN"/>
        </w:rPr>
        <w:t>活动。</w:t>
      </w:r>
    </w:p>
    <w:p>
      <w:pPr>
        <w:adjustRightInd w:val="0"/>
        <w:snapToGrid w:val="0"/>
        <w:spacing w:line="600" w:lineRule="exact"/>
        <w:ind w:firstLine="643" w:firstLineChars="200"/>
        <w:rPr>
          <w:rFonts w:ascii="仿宋_GB2312" w:hAnsi="Times New Roman" w:eastAsia="仿宋_GB2312" w:cs="Mongolian Baiti"/>
          <w:b/>
          <w:bCs/>
          <w:color w:val="auto"/>
          <w:sz w:val="32"/>
          <w:szCs w:val="32"/>
        </w:rPr>
      </w:pPr>
      <w:r>
        <w:rPr>
          <w:rFonts w:hint="eastAsia" w:ascii="楷体_GB2312" w:hAnsi="Times New Roman" w:eastAsia="楷体_GB2312" w:cs="Mongolian Baiti"/>
          <w:b/>
          <w:bCs/>
          <w:color w:val="auto"/>
          <w:sz w:val="32"/>
          <w:szCs w:val="32"/>
        </w:rPr>
        <w:t>2.公务用车购置及运行维护费。</w:t>
      </w:r>
      <w:r>
        <w:rPr>
          <w:rFonts w:hint="eastAsia" w:ascii="仿宋_GB2312" w:hAnsi="仿宋_GB2312" w:eastAsia="仿宋_GB2312" w:cs="仿宋_GB2312"/>
          <w:color w:val="auto"/>
          <w:sz w:val="32"/>
          <w:szCs w:val="32"/>
        </w:rPr>
        <w:t>本部门2020年公务用车购置及运行维护费支出</w:t>
      </w:r>
      <w:r>
        <w:rPr>
          <w:rFonts w:hint="eastAsia" w:ascii="仿宋_GB2312" w:hAnsi="仿宋_GB2312" w:eastAsia="仿宋_GB2312" w:cs="仿宋_GB2312"/>
          <w:color w:val="auto"/>
          <w:sz w:val="32"/>
          <w:szCs w:val="32"/>
          <w:lang w:val="en-US" w:eastAsia="zh-CN"/>
        </w:rPr>
        <w:t>5.49</w:t>
      </w:r>
      <w:r>
        <w:rPr>
          <w:rFonts w:hint="eastAsia" w:ascii="仿宋_GB2312" w:hAnsi="仿宋_GB2312" w:eastAsia="仿宋_GB2312" w:cs="仿宋_GB2312"/>
          <w:color w:val="auto"/>
          <w:sz w:val="32"/>
          <w:szCs w:val="32"/>
        </w:rPr>
        <w:t>万元，完成预算的</w:t>
      </w:r>
      <w:r>
        <w:rPr>
          <w:rFonts w:hint="eastAsia" w:ascii="仿宋_GB2312" w:hAnsi="仿宋_GB2312" w:eastAsia="仿宋_GB2312" w:cs="仿宋_GB2312"/>
          <w:color w:val="auto"/>
          <w:sz w:val="32"/>
          <w:szCs w:val="32"/>
          <w:lang w:val="en-US" w:eastAsia="zh-CN"/>
        </w:rPr>
        <w:t>67.78</w:t>
      </w:r>
      <w:r>
        <w:rPr>
          <w:rFonts w:hint="eastAsia" w:ascii="仿宋_GB2312" w:hAnsi="仿宋_GB2312" w:eastAsia="仿宋_GB2312" w:cs="仿宋_GB2312"/>
          <w:color w:val="auto"/>
          <w:sz w:val="32"/>
          <w:szCs w:val="32"/>
        </w:rPr>
        <w:t>%，</w:t>
      </w:r>
      <w:r>
        <w:rPr>
          <w:rFonts w:hint="eastAsia" w:ascii="仿宋_GB2312" w:hAnsi="Times New Roman" w:eastAsia="仿宋_GB2312" w:cs="Wingdings"/>
          <w:color w:val="auto"/>
          <w:sz w:val="32"/>
          <w:szCs w:val="32"/>
        </w:rPr>
        <w:t>较预算减少</w:t>
      </w:r>
      <w:r>
        <w:rPr>
          <w:rFonts w:hint="eastAsia" w:ascii="仿宋_GB2312" w:hAnsi="Times New Roman" w:eastAsia="仿宋_GB2312" w:cs="Wingdings"/>
          <w:color w:val="auto"/>
          <w:sz w:val="32"/>
          <w:szCs w:val="32"/>
          <w:lang w:val="en-US" w:eastAsia="zh-CN"/>
        </w:rPr>
        <w:t>2.61</w:t>
      </w:r>
      <w:r>
        <w:rPr>
          <w:rFonts w:hint="eastAsia" w:ascii="仿宋_GB2312" w:hAnsi="Times New Roman" w:eastAsia="仿宋_GB2312" w:cs="Wingdings"/>
          <w:color w:val="auto"/>
          <w:sz w:val="32"/>
          <w:szCs w:val="32"/>
        </w:rPr>
        <w:t>万元，降低</w:t>
      </w:r>
      <w:r>
        <w:rPr>
          <w:rFonts w:hint="eastAsia" w:ascii="仿宋_GB2312" w:hAnsi="Times New Roman" w:eastAsia="仿宋_GB2312" w:cs="Wingdings"/>
          <w:color w:val="auto"/>
          <w:sz w:val="32"/>
          <w:szCs w:val="32"/>
          <w:lang w:val="en-US" w:eastAsia="zh-CN"/>
        </w:rPr>
        <w:t>32.22</w:t>
      </w:r>
      <w:r>
        <w:rPr>
          <w:rFonts w:hint="eastAsia" w:ascii="仿宋_GB2312" w:hAnsi="Times New Roman" w:eastAsia="仿宋_GB2312" w:cs="Wingdings"/>
          <w:color w:val="auto"/>
          <w:sz w:val="32"/>
          <w:szCs w:val="32"/>
        </w:rPr>
        <w:t>%,</w:t>
      </w:r>
      <w:r>
        <w:rPr>
          <w:rFonts w:hint="eastAsia" w:ascii="仿宋_GB2312" w:hAnsi="Times New Roman" w:eastAsia="仿宋_GB2312" w:cs="DengXian-Regular"/>
          <w:color w:val="auto"/>
          <w:sz w:val="32"/>
          <w:szCs w:val="32"/>
          <w:highlight w:val="none"/>
        </w:rPr>
        <w:t>主要是</w:t>
      </w:r>
      <w:r>
        <w:rPr>
          <w:rFonts w:hint="eastAsia" w:ascii="仿宋_GB2312" w:eastAsia="仿宋_GB2312" w:cs="DengXian-Regular"/>
          <w:color w:val="auto"/>
          <w:sz w:val="32"/>
          <w:szCs w:val="32"/>
          <w:highlight w:val="none"/>
        </w:rPr>
        <w:t>认真贯彻落实</w:t>
      </w:r>
      <w:r>
        <w:rPr>
          <w:rFonts w:hint="eastAsia" w:ascii="仿宋_GB2312" w:eastAsia="仿宋_GB2312" w:cs="DengXian-Regular"/>
          <w:color w:val="auto"/>
          <w:sz w:val="32"/>
          <w:szCs w:val="32"/>
          <w:highlight w:val="none"/>
          <w:lang w:eastAsia="zh-CN"/>
        </w:rPr>
        <w:t>有关规定</w:t>
      </w:r>
      <w:r>
        <w:rPr>
          <w:rFonts w:hint="eastAsia" w:ascii="仿宋_GB2312" w:eastAsia="仿宋_GB2312" w:cs="DengXian-Regular"/>
          <w:color w:val="auto"/>
          <w:sz w:val="32"/>
          <w:szCs w:val="32"/>
          <w:highlight w:val="none"/>
        </w:rPr>
        <w:t>，</w:t>
      </w:r>
      <w:r>
        <w:rPr>
          <w:rFonts w:hint="eastAsia" w:ascii="仿宋_GB2312" w:hAnsi="Times New Roman" w:eastAsia="仿宋_GB2312" w:cs="DengXian-Regular"/>
          <w:color w:val="auto"/>
          <w:sz w:val="32"/>
          <w:szCs w:val="32"/>
          <w:highlight w:val="none"/>
          <w:lang w:eastAsia="zh-CN"/>
        </w:rPr>
        <w:t>严控公车更新运维费支出，</w:t>
      </w:r>
      <w:r>
        <w:rPr>
          <w:rFonts w:hint="eastAsia" w:ascii="仿宋_GB2312" w:hAnsi="Times New Roman" w:eastAsia="仿宋_GB2312" w:cs="DengXian-Regular"/>
          <w:color w:val="auto"/>
          <w:sz w:val="32"/>
          <w:szCs w:val="32"/>
          <w:highlight w:val="none"/>
        </w:rPr>
        <w:t>支出控制在预算批复额度内</w:t>
      </w:r>
      <w:r>
        <w:rPr>
          <w:rFonts w:hint="eastAsia" w:ascii="仿宋_GB2312" w:hAnsi="Times New Roman" w:eastAsia="仿宋_GB2312" w:cs="DengXian-Regular"/>
          <w:color w:val="auto"/>
          <w:sz w:val="32"/>
          <w:szCs w:val="32"/>
          <w:highlight w:val="none"/>
          <w:lang w:eastAsia="zh-CN"/>
        </w:rPr>
        <w:t>，</w:t>
      </w:r>
      <w:r>
        <w:rPr>
          <w:rFonts w:hint="eastAsia" w:ascii="仿宋_GB2312" w:eastAsia="仿宋_GB2312" w:cs="DengXian-Regular"/>
          <w:color w:val="auto"/>
          <w:sz w:val="32"/>
          <w:szCs w:val="32"/>
        </w:rPr>
        <w:t>全年实际支出比预算有所节约</w:t>
      </w:r>
      <w:r>
        <w:rPr>
          <w:rFonts w:hint="eastAsia" w:ascii="仿宋_GB2312" w:hAnsi="Times New Roman" w:eastAsia="仿宋_GB2312" w:cs="DengXian-Regular"/>
          <w:color w:val="auto"/>
          <w:sz w:val="32"/>
          <w:szCs w:val="32"/>
        </w:rPr>
        <w:t>；</w:t>
      </w:r>
      <w:r>
        <w:rPr>
          <w:rFonts w:hint="eastAsia" w:ascii="仿宋_GB2312" w:hAnsi="Times New Roman" w:eastAsia="仿宋_GB2312" w:cs="Wingdings"/>
          <w:color w:val="auto"/>
          <w:sz w:val="32"/>
          <w:szCs w:val="32"/>
        </w:rPr>
        <w:t>较上年减少</w:t>
      </w:r>
      <w:r>
        <w:rPr>
          <w:rFonts w:hint="eastAsia" w:ascii="仿宋_GB2312" w:hAnsi="Times New Roman" w:eastAsia="仿宋_GB2312" w:cs="Wingdings"/>
          <w:color w:val="auto"/>
          <w:sz w:val="32"/>
          <w:szCs w:val="32"/>
          <w:lang w:val="en-US" w:eastAsia="zh-CN"/>
        </w:rPr>
        <w:t>2.24</w:t>
      </w:r>
      <w:r>
        <w:rPr>
          <w:rFonts w:hint="eastAsia" w:ascii="仿宋_GB2312" w:hAnsi="Times New Roman" w:eastAsia="仿宋_GB2312" w:cs="Wingdings"/>
          <w:color w:val="auto"/>
          <w:sz w:val="32"/>
          <w:szCs w:val="32"/>
        </w:rPr>
        <w:t>万元，降低</w:t>
      </w:r>
      <w:r>
        <w:rPr>
          <w:rFonts w:hint="eastAsia" w:ascii="仿宋_GB2312" w:hAnsi="Times New Roman" w:eastAsia="仿宋_GB2312" w:cs="Wingdings"/>
          <w:color w:val="auto"/>
          <w:sz w:val="32"/>
          <w:szCs w:val="32"/>
          <w:lang w:val="en-US" w:eastAsia="zh-CN"/>
        </w:rPr>
        <w:t>28.98</w:t>
      </w:r>
      <w:r>
        <w:rPr>
          <w:rFonts w:hint="eastAsia" w:ascii="仿宋_GB2312" w:hAnsi="Times New Roman" w:eastAsia="仿宋_GB2312" w:cs="Wingdings"/>
          <w:color w:val="auto"/>
          <w:sz w:val="32"/>
          <w:szCs w:val="32"/>
        </w:rPr>
        <w:t>%,</w:t>
      </w:r>
      <w:r>
        <w:rPr>
          <w:rFonts w:hint="eastAsia" w:ascii="仿宋_GB2312" w:hAnsi="Times New Roman" w:eastAsia="仿宋_GB2312" w:cs="DengXian-Regular"/>
          <w:color w:val="auto"/>
          <w:sz w:val="32"/>
          <w:szCs w:val="32"/>
          <w:highlight w:val="none"/>
        </w:rPr>
        <w:t>主要是</w:t>
      </w:r>
      <w:r>
        <w:rPr>
          <w:rFonts w:hint="eastAsia" w:ascii="仿宋_GB2312" w:eastAsia="仿宋_GB2312" w:cs="DengXian-Regular"/>
          <w:color w:val="auto"/>
          <w:sz w:val="32"/>
          <w:szCs w:val="32"/>
          <w:highlight w:val="none"/>
        </w:rPr>
        <w:t>认真贯彻落实</w:t>
      </w:r>
      <w:r>
        <w:rPr>
          <w:rFonts w:hint="eastAsia" w:ascii="仿宋_GB2312" w:eastAsia="仿宋_GB2312" w:cs="DengXian-Regular"/>
          <w:color w:val="auto"/>
          <w:sz w:val="32"/>
          <w:szCs w:val="32"/>
          <w:highlight w:val="none"/>
          <w:lang w:eastAsia="zh-CN"/>
        </w:rPr>
        <w:t>有关规定</w:t>
      </w:r>
      <w:r>
        <w:rPr>
          <w:rFonts w:hint="eastAsia" w:ascii="仿宋_GB2312" w:eastAsia="仿宋_GB2312" w:cs="DengXian-Regular"/>
          <w:color w:val="auto"/>
          <w:sz w:val="32"/>
          <w:szCs w:val="32"/>
          <w:highlight w:val="none"/>
        </w:rPr>
        <w:t>，</w:t>
      </w:r>
      <w:r>
        <w:rPr>
          <w:rFonts w:hint="eastAsia" w:ascii="仿宋_GB2312" w:hAnsi="Times New Roman" w:eastAsia="仿宋_GB2312" w:cs="DengXian-Regular"/>
          <w:color w:val="auto"/>
          <w:sz w:val="32"/>
          <w:szCs w:val="32"/>
          <w:highlight w:val="none"/>
          <w:lang w:eastAsia="zh-CN"/>
        </w:rPr>
        <w:t>严控公车更新运维费支出，公务用车购置及运行维护费减少。</w:t>
      </w:r>
      <w:r>
        <w:rPr>
          <w:rFonts w:hint="eastAsia" w:ascii="仿宋_GB2312" w:hAnsi="Times New Roman" w:eastAsia="仿宋_GB2312" w:cs="Mongolian Baiti"/>
          <w:b/>
          <w:bCs/>
          <w:color w:val="auto"/>
          <w:sz w:val="32"/>
          <w:szCs w:val="32"/>
        </w:rPr>
        <w:t>其中：</w:t>
      </w:r>
    </w:p>
    <w:p>
      <w:pPr>
        <w:adjustRightInd w:val="0"/>
        <w:snapToGrid w:val="0"/>
        <w:spacing w:line="600" w:lineRule="exact"/>
        <w:ind w:firstLine="643" w:firstLineChars="200"/>
        <w:rPr>
          <w:rFonts w:ascii="仿宋_GB2312" w:hAnsi="Times New Roman" w:eastAsia="仿宋_GB2312" w:cs="Wingdings"/>
          <w:color w:val="auto"/>
          <w:sz w:val="32"/>
          <w:szCs w:val="32"/>
        </w:rPr>
      </w:pPr>
      <w:r>
        <w:rPr>
          <w:rFonts w:hint="eastAsia" w:ascii="仿宋_GB2312" w:hAnsi="Times New Roman" w:eastAsia="仿宋_GB2312" w:cs="Wingdings"/>
          <w:b/>
          <w:color w:val="auto"/>
          <w:sz w:val="32"/>
          <w:szCs w:val="32"/>
        </w:rPr>
        <w:t>公务用车购置费支出：</w:t>
      </w:r>
      <w:r>
        <w:rPr>
          <w:rFonts w:hint="eastAsia" w:ascii="仿宋_GB2312" w:hAnsi="Times New Roman" w:eastAsia="仿宋_GB2312" w:cs="Wingdings"/>
          <w:color w:val="auto"/>
          <w:sz w:val="32"/>
          <w:szCs w:val="32"/>
        </w:rPr>
        <w:t>本部门2020年度公务用车购置量</w:t>
      </w:r>
      <w:r>
        <w:rPr>
          <w:rFonts w:hint="eastAsia" w:ascii="仿宋_GB2312" w:hAnsi="Times New Roman" w:eastAsia="仿宋_GB2312" w:cs="Wingdings"/>
          <w:color w:val="auto"/>
          <w:sz w:val="32"/>
          <w:szCs w:val="32"/>
          <w:lang w:val="en-US" w:eastAsia="zh-CN"/>
        </w:rPr>
        <w:t>0</w:t>
      </w:r>
      <w:r>
        <w:rPr>
          <w:rFonts w:hint="eastAsia" w:ascii="仿宋_GB2312" w:hAnsi="Times New Roman" w:eastAsia="仿宋_GB2312" w:cs="Wingdings"/>
          <w:color w:val="auto"/>
          <w:sz w:val="32"/>
          <w:szCs w:val="32"/>
        </w:rPr>
        <w:t>辆，</w:t>
      </w:r>
      <w:r>
        <w:rPr>
          <w:rFonts w:hint="eastAsia" w:ascii="仿宋_GB2312" w:hAnsi="Times New Roman" w:eastAsia="仿宋_GB2312" w:cs="Wingdings"/>
          <w:color w:val="auto"/>
          <w:sz w:val="32"/>
          <w:szCs w:val="32"/>
          <w:lang w:eastAsia="zh-CN"/>
        </w:rPr>
        <w:t>未</w:t>
      </w:r>
      <w:r>
        <w:rPr>
          <w:rFonts w:hint="eastAsia" w:ascii="仿宋_GB2312" w:hAnsi="Times New Roman" w:eastAsia="仿宋_GB2312" w:cs="Wingdings"/>
          <w:color w:val="auto"/>
          <w:sz w:val="32"/>
          <w:szCs w:val="32"/>
        </w:rPr>
        <w:t>发生“公务用车购置”经费支出</w:t>
      </w:r>
      <w:r>
        <w:rPr>
          <w:rFonts w:hint="eastAsia" w:ascii="仿宋_GB2312" w:hAnsi="Times New Roman" w:eastAsia="仿宋_GB2312" w:cs="Wingdings"/>
          <w:color w:val="auto"/>
          <w:sz w:val="32"/>
          <w:szCs w:val="32"/>
          <w:lang w:eastAsia="zh-CN"/>
        </w:rPr>
        <w:t>，</w:t>
      </w:r>
      <w:r>
        <w:rPr>
          <w:rFonts w:hint="eastAsia" w:ascii="仿宋_GB2312" w:hAnsi="Times New Roman" w:eastAsia="仿宋_GB2312" w:cs="DengXian-Regular"/>
          <w:color w:val="auto"/>
          <w:sz w:val="32"/>
          <w:szCs w:val="32"/>
          <w:highlight w:val="none"/>
        </w:rPr>
        <w:t>公务用车购置费支出</w:t>
      </w:r>
      <w:r>
        <w:rPr>
          <w:rFonts w:hint="eastAsia" w:ascii="仿宋_GB2312" w:hAnsi="Times New Roman" w:eastAsia="仿宋_GB2312" w:cs="DengXian-Regular"/>
          <w:color w:val="auto"/>
          <w:sz w:val="32"/>
          <w:szCs w:val="32"/>
          <w:highlight w:val="none"/>
          <w:lang w:val="en-US" w:eastAsia="zh-CN"/>
        </w:rPr>
        <w:t>0万元。</w:t>
      </w:r>
      <w:r>
        <w:rPr>
          <w:rFonts w:hint="eastAsia" w:ascii="仿宋_GB2312" w:hAnsi="Times New Roman" w:eastAsia="仿宋_GB2312" w:cs="Wingdings"/>
          <w:color w:val="auto"/>
          <w:sz w:val="32"/>
          <w:szCs w:val="32"/>
        </w:rPr>
        <w:t>公务用车购置费支出</w:t>
      </w:r>
      <w:r>
        <w:rPr>
          <w:rFonts w:hint="eastAsia" w:ascii="仿宋" w:hAnsi="仿宋" w:eastAsia="仿宋" w:cs="仿宋"/>
          <w:color w:val="auto"/>
          <w:kern w:val="0"/>
          <w:sz w:val="32"/>
          <w:szCs w:val="32"/>
          <w:highlight w:val="none"/>
        </w:rPr>
        <w:t>较预算无增减变化，</w:t>
      </w:r>
      <w:r>
        <w:rPr>
          <w:rFonts w:hint="eastAsia" w:ascii="仿宋_GB2312" w:eastAsia="仿宋_GB2312" w:cs="DengXian-Regular"/>
          <w:color w:val="auto"/>
          <w:sz w:val="32"/>
          <w:szCs w:val="32"/>
          <w:highlight w:val="none"/>
        </w:rPr>
        <w:t>与预算持平</w:t>
      </w:r>
      <w:r>
        <w:rPr>
          <w:rFonts w:hint="eastAsia" w:ascii="仿宋" w:hAnsi="仿宋" w:eastAsia="仿宋" w:cs="仿宋"/>
          <w:color w:val="auto"/>
          <w:kern w:val="0"/>
          <w:sz w:val="32"/>
          <w:szCs w:val="32"/>
          <w:highlight w:val="none"/>
          <w:lang w:eastAsia="zh-CN"/>
        </w:rPr>
        <w:t>，</w:t>
      </w:r>
      <w:r>
        <w:rPr>
          <w:rFonts w:hint="eastAsia" w:ascii="仿宋_GB2312" w:eastAsia="仿宋_GB2312" w:cs="DengXian-Regular"/>
          <w:color w:val="auto"/>
          <w:sz w:val="32"/>
          <w:szCs w:val="32"/>
          <w:lang w:eastAsia="zh-CN"/>
        </w:rPr>
        <w:t>主要原因是贯彻落实有关规定，</w:t>
      </w:r>
      <w:r>
        <w:rPr>
          <w:rFonts w:hint="eastAsia" w:ascii="仿宋" w:hAnsi="仿宋" w:eastAsia="仿宋" w:cs="仿宋"/>
          <w:color w:val="auto"/>
          <w:kern w:val="0"/>
          <w:sz w:val="32"/>
          <w:szCs w:val="32"/>
          <w:highlight w:val="none"/>
          <w:lang w:eastAsia="zh-CN"/>
        </w:rPr>
        <w:t>严控</w:t>
      </w:r>
      <w:r>
        <w:rPr>
          <w:rFonts w:hint="eastAsia" w:ascii="仿宋" w:hAnsi="仿宋" w:eastAsia="仿宋" w:cs="仿宋"/>
          <w:color w:val="auto"/>
          <w:kern w:val="0"/>
          <w:sz w:val="32"/>
          <w:szCs w:val="32"/>
          <w:highlight w:val="none"/>
        </w:rPr>
        <w:t>公务用车购置</w:t>
      </w:r>
      <w:r>
        <w:rPr>
          <w:rFonts w:hint="eastAsia" w:ascii="仿宋" w:hAnsi="仿宋" w:eastAsia="仿宋" w:cs="仿宋"/>
          <w:color w:val="auto"/>
          <w:kern w:val="0"/>
          <w:sz w:val="32"/>
          <w:szCs w:val="32"/>
          <w:highlight w:val="none"/>
          <w:lang w:eastAsia="zh-CN"/>
        </w:rPr>
        <w:t>，</w:t>
      </w:r>
      <w:r>
        <w:rPr>
          <w:rFonts w:hint="eastAsia" w:ascii="仿宋_GB2312" w:eastAsia="仿宋_GB2312" w:cs="DengXian-Regular"/>
          <w:color w:val="auto"/>
          <w:sz w:val="32"/>
          <w:szCs w:val="32"/>
          <w:lang w:eastAsia="zh-CN"/>
        </w:rPr>
        <w:t>本年</w:t>
      </w:r>
      <w:r>
        <w:rPr>
          <w:rFonts w:hint="eastAsia" w:ascii="仿宋" w:hAnsi="仿宋" w:eastAsia="仿宋" w:cs="仿宋"/>
          <w:color w:val="auto"/>
          <w:kern w:val="0"/>
          <w:sz w:val="32"/>
          <w:szCs w:val="32"/>
          <w:highlight w:val="none"/>
        </w:rPr>
        <w:t>本部门</w:t>
      </w:r>
      <w:r>
        <w:rPr>
          <w:rFonts w:hint="eastAsia" w:ascii="仿宋_GB2312" w:eastAsia="仿宋_GB2312" w:cs="DengXian-Regular"/>
          <w:color w:val="auto"/>
          <w:sz w:val="32"/>
          <w:szCs w:val="32"/>
          <w:lang w:eastAsia="zh-CN"/>
        </w:rPr>
        <w:t>无新购置</w:t>
      </w:r>
      <w:r>
        <w:rPr>
          <w:rFonts w:hint="eastAsia" w:ascii="仿宋" w:hAnsi="仿宋" w:eastAsia="仿宋" w:cs="仿宋"/>
          <w:color w:val="auto"/>
          <w:kern w:val="0"/>
          <w:sz w:val="32"/>
          <w:szCs w:val="32"/>
          <w:highlight w:val="none"/>
        </w:rPr>
        <w:t>公务用车</w:t>
      </w:r>
      <w:r>
        <w:rPr>
          <w:rFonts w:hint="eastAsia" w:ascii="仿宋_GB2312" w:eastAsia="仿宋_GB2312" w:cs="DengXian-Regular"/>
          <w:color w:val="auto"/>
          <w:sz w:val="32"/>
          <w:szCs w:val="32"/>
          <w:lang w:eastAsia="zh-CN"/>
        </w:rPr>
        <w:t>；</w:t>
      </w:r>
      <w:r>
        <w:rPr>
          <w:rFonts w:hint="eastAsia" w:ascii="仿宋_GB2312" w:hAnsi="Times New Roman" w:eastAsia="仿宋_GB2312" w:cs="DengXian-Regular"/>
          <w:color w:val="auto"/>
          <w:sz w:val="32"/>
          <w:szCs w:val="32"/>
        </w:rPr>
        <w:t>较上年</w:t>
      </w:r>
      <w:r>
        <w:rPr>
          <w:rFonts w:hint="eastAsia" w:ascii="仿宋" w:hAnsi="仿宋" w:eastAsia="仿宋" w:cs="仿宋"/>
          <w:color w:val="auto"/>
          <w:kern w:val="0"/>
          <w:sz w:val="32"/>
          <w:szCs w:val="32"/>
          <w:highlight w:val="none"/>
        </w:rPr>
        <w:t>无增减变化，</w:t>
      </w:r>
      <w:r>
        <w:rPr>
          <w:rFonts w:hint="eastAsia" w:ascii="仿宋_GB2312" w:eastAsia="仿宋_GB2312" w:cs="DengXian-Regular"/>
          <w:color w:val="auto"/>
          <w:sz w:val="32"/>
          <w:szCs w:val="32"/>
          <w:highlight w:val="none"/>
        </w:rPr>
        <w:t>与</w:t>
      </w:r>
      <w:r>
        <w:rPr>
          <w:rFonts w:hint="eastAsia" w:ascii="仿宋_GB2312" w:eastAsia="仿宋_GB2312" w:cs="DengXian-Regular"/>
          <w:color w:val="auto"/>
          <w:sz w:val="32"/>
          <w:szCs w:val="32"/>
          <w:highlight w:val="none"/>
          <w:lang w:eastAsia="zh-CN"/>
        </w:rPr>
        <w:t>上年</w:t>
      </w:r>
      <w:r>
        <w:rPr>
          <w:rFonts w:hint="eastAsia" w:ascii="仿宋_GB2312" w:eastAsia="仿宋_GB2312" w:cs="DengXian-Regular"/>
          <w:color w:val="auto"/>
          <w:sz w:val="32"/>
          <w:szCs w:val="32"/>
          <w:highlight w:val="none"/>
        </w:rPr>
        <w:t>持平</w:t>
      </w:r>
      <w:r>
        <w:rPr>
          <w:rFonts w:hint="eastAsia" w:ascii="仿宋" w:hAnsi="仿宋" w:eastAsia="仿宋" w:cs="仿宋"/>
          <w:color w:val="auto"/>
          <w:kern w:val="0"/>
          <w:sz w:val="32"/>
          <w:szCs w:val="32"/>
          <w:highlight w:val="none"/>
          <w:lang w:eastAsia="zh-CN"/>
        </w:rPr>
        <w:t>，</w:t>
      </w:r>
      <w:r>
        <w:rPr>
          <w:rFonts w:hint="eastAsia" w:ascii="仿宋_GB2312" w:eastAsia="仿宋_GB2312" w:cs="DengXian-Regular"/>
          <w:color w:val="auto"/>
          <w:sz w:val="32"/>
          <w:szCs w:val="32"/>
          <w:lang w:eastAsia="zh-CN"/>
        </w:rPr>
        <w:t>主要原因是贯彻落实有关规定，</w:t>
      </w:r>
      <w:r>
        <w:rPr>
          <w:rFonts w:hint="eastAsia" w:ascii="仿宋" w:hAnsi="仿宋" w:eastAsia="仿宋" w:cs="仿宋"/>
          <w:color w:val="auto"/>
          <w:kern w:val="0"/>
          <w:sz w:val="32"/>
          <w:szCs w:val="32"/>
          <w:highlight w:val="none"/>
          <w:lang w:eastAsia="zh-CN"/>
        </w:rPr>
        <w:t>严控</w:t>
      </w:r>
      <w:r>
        <w:rPr>
          <w:rFonts w:hint="eastAsia" w:ascii="仿宋" w:hAnsi="仿宋" w:eastAsia="仿宋" w:cs="仿宋"/>
          <w:color w:val="auto"/>
          <w:kern w:val="0"/>
          <w:sz w:val="32"/>
          <w:szCs w:val="32"/>
          <w:highlight w:val="none"/>
        </w:rPr>
        <w:t>公务用车购置</w:t>
      </w:r>
      <w:r>
        <w:rPr>
          <w:rFonts w:hint="eastAsia" w:ascii="仿宋" w:hAnsi="仿宋" w:eastAsia="仿宋" w:cs="仿宋"/>
          <w:color w:val="auto"/>
          <w:kern w:val="0"/>
          <w:sz w:val="32"/>
          <w:szCs w:val="32"/>
          <w:highlight w:val="none"/>
          <w:lang w:eastAsia="zh-CN"/>
        </w:rPr>
        <w:t>，</w:t>
      </w:r>
      <w:r>
        <w:rPr>
          <w:rFonts w:hint="eastAsia" w:ascii="仿宋_GB2312" w:eastAsia="仿宋_GB2312" w:cs="DengXian-Regular"/>
          <w:color w:val="auto"/>
          <w:sz w:val="32"/>
          <w:szCs w:val="32"/>
          <w:lang w:eastAsia="zh-CN"/>
        </w:rPr>
        <w:t>本年</w:t>
      </w:r>
      <w:r>
        <w:rPr>
          <w:rFonts w:hint="eastAsia" w:ascii="仿宋" w:hAnsi="仿宋" w:eastAsia="仿宋" w:cs="仿宋"/>
          <w:color w:val="auto"/>
          <w:kern w:val="0"/>
          <w:sz w:val="32"/>
          <w:szCs w:val="32"/>
          <w:highlight w:val="none"/>
        </w:rPr>
        <w:t>本部门</w:t>
      </w:r>
      <w:r>
        <w:rPr>
          <w:rFonts w:hint="eastAsia" w:ascii="仿宋_GB2312" w:eastAsia="仿宋_GB2312" w:cs="DengXian-Regular"/>
          <w:color w:val="auto"/>
          <w:sz w:val="32"/>
          <w:szCs w:val="32"/>
          <w:lang w:eastAsia="zh-CN"/>
        </w:rPr>
        <w:t>无新购置</w:t>
      </w:r>
      <w:r>
        <w:rPr>
          <w:rFonts w:hint="eastAsia" w:ascii="仿宋" w:hAnsi="仿宋" w:eastAsia="仿宋" w:cs="仿宋"/>
          <w:color w:val="auto"/>
          <w:kern w:val="0"/>
          <w:sz w:val="32"/>
          <w:szCs w:val="32"/>
          <w:highlight w:val="none"/>
        </w:rPr>
        <w:t>公务用车</w:t>
      </w:r>
      <w:r>
        <w:rPr>
          <w:rFonts w:hint="eastAsia" w:ascii="仿宋_GB2312" w:eastAsia="仿宋_GB2312" w:cs="DengXian-Regular"/>
          <w:color w:val="auto"/>
          <w:sz w:val="32"/>
          <w:szCs w:val="32"/>
          <w:lang w:eastAsia="zh-CN"/>
        </w:rPr>
        <w:t>。</w:t>
      </w:r>
    </w:p>
    <w:p>
      <w:pPr>
        <w:adjustRightInd w:val="0"/>
        <w:snapToGrid w:val="0"/>
        <w:spacing w:line="600" w:lineRule="exact"/>
        <w:ind w:firstLine="643" w:firstLineChars="200"/>
        <w:rPr>
          <w:rFonts w:ascii="仿宋_GB2312" w:hAnsi="Times New Roman" w:eastAsia="仿宋_GB2312" w:cs="Wingdings"/>
          <w:color w:val="auto"/>
          <w:sz w:val="32"/>
          <w:szCs w:val="32"/>
        </w:rPr>
      </w:pPr>
      <w:r>
        <w:rPr>
          <w:rFonts w:hint="eastAsia" w:ascii="仿宋_GB2312" w:hAnsi="Times New Roman" w:eastAsia="仿宋_GB2312" w:cs="Wingdings"/>
          <w:b/>
          <w:color w:val="auto"/>
          <w:sz w:val="32"/>
          <w:szCs w:val="32"/>
        </w:rPr>
        <w:t>公务用车运行维护费支出：</w:t>
      </w:r>
      <w:r>
        <w:rPr>
          <w:rFonts w:hint="eastAsia" w:ascii="仿宋_GB2312" w:hAnsi="Times New Roman" w:eastAsia="仿宋_GB2312" w:cs="Wingdings"/>
          <w:color w:val="auto"/>
          <w:sz w:val="32"/>
          <w:szCs w:val="32"/>
        </w:rPr>
        <w:t>本部门2020年度单位公务用车保有量</w:t>
      </w:r>
      <w:r>
        <w:rPr>
          <w:rFonts w:hint="eastAsia" w:ascii="仿宋_GB2312" w:hAnsi="Times New Roman" w:eastAsia="仿宋_GB2312" w:cs="Wingdings"/>
          <w:color w:val="auto"/>
          <w:sz w:val="32"/>
          <w:szCs w:val="32"/>
          <w:lang w:val="en-US" w:eastAsia="zh-CN"/>
        </w:rPr>
        <w:t>5</w:t>
      </w:r>
      <w:r>
        <w:rPr>
          <w:rFonts w:hint="eastAsia" w:ascii="仿宋_GB2312" w:hAnsi="Times New Roman" w:eastAsia="仿宋_GB2312" w:cs="Wingdings"/>
          <w:color w:val="auto"/>
          <w:sz w:val="32"/>
          <w:szCs w:val="32"/>
        </w:rPr>
        <w:t>辆,发生运行维护费支出</w:t>
      </w:r>
      <w:r>
        <w:rPr>
          <w:rFonts w:hint="eastAsia" w:ascii="仿宋_GB2312" w:hAnsi="Times New Roman" w:eastAsia="仿宋_GB2312" w:cs="Wingdings"/>
          <w:color w:val="auto"/>
          <w:sz w:val="32"/>
          <w:szCs w:val="32"/>
          <w:lang w:val="en-US" w:eastAsia="zh-CN"/>
        </w:rPr>
        <w:t>5.49</w:t>
      </w:r>
      <w:r>
        <w:rPr>
          <w:rFonts w:hint="eastAsia" w:ascii="仿宋_GB2312" w:hAnsi="Times New Roman" w:eastAsia="仿宋_GB2312" w:cs="Wingdings"/>
          <w:color w:val="auto"/>
          <w:sz w:val="32"/>
          <w:szCs w:val="32"/>
        </w:rPr>
        <w:t>万元。公车运行维护费支出较预算减少</w:t>
      </w:r>
      <w:r>
        <w:rPr>
          <w:rFonts w:hint="eastAsia" w:ascii="仿宋_GB2312" w:hAnsi="Times New Roman" w:eastAsia="仿宋_GB2312" w:cs="Wingdings"/>
          <w:color w:val="auto"/>
          <w:sz w:val="32"/>
          <w:szCs w:val="32"/>
          <w:lang w:val="en-US" w:eastAsia="zh-CN"/>
        </w:rPr>
        <w:t>2.61</w:t>
      </w:r>
      <w:r>
        <w:rPr>
          <w:rFonts w:hint="eastAsia" w:ascii="仿宋_GB2312" w:hAnsi="Times New Roman" w:eastAsia="仿宋_GB2312" w:cs="Wingdings"/>
          <w:color w:val="auto"/>
          <w:sz w:val="32"/>
          <w:szCs w:val="32"/>
        </w:rPr>
        <w:t>万元，降低</w:t>
      </w:r>
      <w:r>
        <w:rPr>
          <w:rFonts w:hint="eastAsia" w:ascii="仿宋_GB2312" w:hAnsi="Times New Roman" w:eastAsia="仿宋_GB2312" w:cs="Wingdings"/>
          <w:color w:val="auto"/>
          <w:sz w:val="32"/>
          <w:szCs w:val="32"/>
          <w:lang w:val="en-US" w:eastAsia="zh-CN"/>
        </w:rPr>
        <w:t>32.22</w:t>
      </w:r>
      <w:r>
        <w:rPr>
          <w:rFonts w:hint="eastAsia" w:ascii="仿宋_GB2312" w:hAnsi="Times New Roman" w:eastAsia="仿宋_GB2312" w:cs="Wingdings"/>
          <w:color w:val="auto"/>
          <w:sz w:val="32"/>
          <w:szCs w:val="32"/>
        </w:rPr>
        <w:t>%,</w:t>
      </w:r>
      <w:r>
        <w:rPr>
          <w:rFonts w:hint="eastAsia" w:ascii="仿宋_GB2312" w:hAnsi="Times New Roman" w:eastAsia="仿宋_GB2312" w:cs="DengXian-Regular"/>
          <w:color w:val="auto"/>
          <w:sz w:val="32"/>
          <w:szCs w:val="32"/>
          <w:highlight w:val="none"/>
        </w:rPr>
        <w:t>主要是</w:t>
      </w:r>
      <w:r>
        <w:rPr>
          <w:rFonts w:hint="eastAsia" w:ascii="仿宋_GB2312" w:eastAsia="仿宋_GB2312" w:cs="DengXian-Regular"/>
          <w:color w:val="auto"/>
          <w:sz w:val="32"/>
          <w:szCs w:val="32"/>
          <w:highlight w:val="none"/>
        </w:rPr>
        <w:t>认真贯彻落实</w:t>
      </w:r>
      <w:r>
        <w:rPr>
          <w:rFonts w:hint="eastAsia" w:ascii="仿宋_GB2312" w:eastAsia="仿宋_GB2312" w:cs="DengXian-Regular"/>
          <w:color w:val="auto"/>
          <w:sz w:val="32"/>
          <w:szCs w:val="32"/>
          <w:highlight w:val="none"/>
          <w:lang w:eastAsia="zh-CN"/>
        </w:rPr>
        <w:t>有关规定</w:t>
      </w:r>
      <w:r>
        <w:rPr>
          <w:rFonts w:hint="eastAsia" w:ascii="仿宋_GB2312" w:eastAsia="仿宋_GB2312" w:cs="DengXian-Regular"/>
          <w:color w:val="auto"/>
          <w:sz w:val="32"/>
          <w:szCs w:val="32"/>
          <w:highlight w:val="none"/>
        </w:rPr>
        <w:t>，</w:t>
      </w:r>
      <w:r>
        <w:rPr>
          <w:rFonts w:hint="eastAsia" w:ascii="仿宋_GB2312" w:hAnsi="Times New Roman" w:eastAsia="仿宋_GB2312" w:cs="DengXian-Regular"/>
          <w:color w:val="auto"/>
          <w:sz w:val="32"/>
          <w:szCs w:val="32"/>
          <w:highlight w:val="none"/>
          <w:lang w:eastAsia="zh-CN"/>
        </w:rPr>
        <w:t>严控公车运维费支出，</w:t>
      </w:r>
      <w:r>
        <w:rPr>
          <w:rFonts w:hint="eastAsia" w:ascii="仿宋_GB2312" w:hAnsi="Times New Roman" w:eastAsia="仿宋_GB2312" w:cs="DengXian-Regular"/>
          <w:color w:val="auto"/>
          <w:sz w:val="32"/>
          <w:szCs w:val="32"/>
          <w:highlight w:val="none"/>
        </w:rPr>
        <w:t>支出控制在预算批复额度内</w:t>
      </w:r>
      <w:r>
        <w:rPr>
          <w:rFonts w:hint="eastAsia" w:ascii="仿宋_GB2312" w:hAnsi="Times New Roman" w:eastAsia="仿宋_GB2312" w:cs="DengXian-Regular"/>
          <w:color w:val="auto"/>
          <w:sz w:val="32"/>
          <w:szCs w:val="32"/>
          <w:highlight w:val="none"/>
          <w:lang w:eastAsia="zh-CN"/>
        </w:rPr>
        <w:t>，</w:t>
      </w:r>
      <w:r>
        <w:rPr>
          <w:rFonts w:hint="eastAsia" w:ascii="仿宋_GB2312" w:eastAsia="仿宋_GB2312" w:cs="DengXian-Regular"/>
          <w:color w:val="auto"/>
          <w:sz w:val="32"/>
          <w:szCs w:val="32"/>
        </w:rPr>
        <w:t>全年实际支出比预算有所节约</w:t>
      </w:r>
      <w:r>
        <w:rPr>
          <w:rFonts w:hint="eastAsia" w:ascii="仿宋_GB2312" w:hAnsi="Times New Roman" w:eastAsia="仿宋_GB2312" w:cs="DengXian-Regular"/>
          <w:color w:val="auto"/>
          <w:sz w:val="32"/>
          <w:szCs w:val="32"/>
        </w:rPr>
        <w:t>；</w:t>
      </w:r>
      <w:r>
        <w:rPr>
          <w:rFonts w:hint="eastAsia" w:ascii="仿宋_GB2312" w:hAnsi="Times New Roman" w:eastAsia="仿宋_GB2312" w:cs="Wingdings"/>
          <w:color w:val="auto"/>
          <w:sz w:val="32"/>
          <w:szCs w:val="32"/>
        </w:rPr>
        <w:t>较上年减少</w:t>
      </w:r>
      <w:r>
        <w:rPr>
          <w:rFonts w:hint="eastAsia" w:ascii="仿宋_GB2312" w:hAnsi="Times New Roman" w:eastAsia="仿宋_GB2312" w:cs="Wingdings"/>
          <w:color w:val="auto"/>
          <w:sz w:val="32"/>
          <w:szCs w:val="32"/>
          <w:lang w:val="en-US" w:eastAsia="zh-CN"/>
        </w:rPr>
        <w:t>2.24</w:t>
      </w:r>
      <w:r>
        <w:rPr>
          <w:rFonts w:hint="eastAsia" w:ascii="仿宋_GB2312" w:hAnsi="Times New Roman" w:eastAsia="仿宋_GB2312" w:cs="Wingdings"/>
          <w:color w:val="auto"/>
          <w:sz w:val="32"/>
          <w:szCs w:val="32"/>
        </w:rPr>
        <w:t>万元，降低</w:t>
      </w:r>
      <w:r>
        <w:rPr>
          <w:rFonts w:hint="eastAsia" w:ascii="仿宋_GB2312" w:hAnsi="Times New Roman" w:eastAsia="仿宋_GB2312" w:cs="Wingdings"/>
          <w:color w:val="auto"/>
          <w:sz w:val="32"/>
          <w:szCs w:val="32"/>
          <w:lang w:val="en-US" w:eastAsia="zh-CN"/>
        </w:rPr>
        <w:t>28.98</w:t>
      </w:r>
      <w:r>
        <w:rPr>
          <w:rFonts w:hint="eastAsia" w:ascii="仿宋_GB2312" w:hAnsi="Times New Roman" w:eastAsia="仿宋_GB2312" w:cs="Wingdings"/>
          <w:color w:val="auto"/>
          <w:sz w:val="32"/>
          <w:szCs w:val="32"/>
        </w:rPr>
        <w:t>%，</w:t>
      </w:r>
      <w:r>
        <w:rPr>
          <w:rFonts w:hint="eastAsia" w:ascii="仿宋_GB2312" w:hAnsi="Times New Roman" w:eastAsia="仿宋_GB2312" w:cs="DengXian-Regular"/>
          <w:color w:val="auto"/>
          <w:sz w:val="32"/>
          <w:szCs w:val="32"/>
          <w:highlight w:val="none"/>
        </w:rPr>
        <w:t>主要是</w:t>
      </w:r>
      <w:r>
        <w:rPr>
          <w:rFonts w:hint="eastAsia" w:ascii="仿宋_GB2312" w:eastAsia="仿宋_GB2312" w:cs="DengXian-Regular"/>
          <w:color w:val="auto"/>
          <w:sz w:val="32"/>
          <w:szCs w:val="32"/>
          <w:highlight w:val="none"/>
        </w:rPr>
        <w:t>认真贯彻落实</w:t>
      </w:r>
      <w:r>
        <w:rPr>
          <w:rFonts w:hint="eastAsia" w:ascii="仿宋_GB2312" w:eastAsia="仿宋_GB2312" w:cs="DengXian-Regular"/>
          <w:color w:val="auto"/>
          <w:sz w:val="32"/>
          <w:szCs w:val="32"/>
          <w:highlight w:val="none"/>
          <w:lang w:eastAsia="zh-CN"/>
        </w:rPr>
        <w:t>有关规定</w:t>
      </w:r>
      <w:r>
        <w:rPr>
          <w:rFonts w:hint="eastAsia" w:ascii="仿宋_GB2312" w:eastAsia="仿宋_GB2312" w:cs="DengXian-Regular"/>
          <w:color w:val="auto"/>
          <w:sz w:val="32"/>
          <w:szCs w:val="32"/>
          <w:highlight w:val="none"/>
        </w:rPr>
        <w:t>，</w:t>
      </w:r>
      <w:r>
        <w:rPr>
          <w:rFonts w:hint="eastAsia" w:ascii="仿宋_GB2312" w:hAnsi="Times New Roman" w:eastAsia="仿宋_GB2312" w:cs="DengXian-Regular"/>
          <w:color w:val="auto"/>
          <w:sz w:val="32"/>
          <w:szCs w:val="32"/>
          <w:highlight w:val="none"/>
          <w:lang w:eastAsia="zh-CN"/>
        </w:rPr>
        <w:t>严控公车运维费支出，公务用车运行维护费减少。</w:t>
      </w:r>
    </w:p>
    <w:p>
      <w:pPr>
        <w:adjustRightInd w:val="0"/>
        <w:snapToGrid w:val="0"/>
        <w:spacing w:line="600" w:lineRule="exact"/>
        <w:ind w:firstLine="643" w:firstLineChars="200"/>
        <w:rPr>
          <w:rFonts w:ascii="仿宋_GB2312" w:hAnsi="Times New Roman" w:eastAsia="仿宋_GB2312" w:cs="Wingdings"/>
          <w:color w:val="00B050"/>
          <w:sz w:val="32"/>
          <w:szCs w:val="32"/>
        </w:rPr>
      </w:pPr>
      <w:r>
        <w:rPr>
          <w:rFonts w:hint="eastAsia" w:ascii="楷体_GB2312" w:hAnsi="Times New Roman" w:eastAsia="楷体_GB2312" w:cs="Mongolian Baiti"/>
          <w:b/>
          <w:bCs/>
          <w:color w:val="auto"/>
          <w:sz w:val="32"/>
          <w:szCs w:val="32"/>
        </w:rPr>
        <w:t>3.公务接待费。</w:t>
      </w:r>
      <w:r>
        <w:rPr>
          <w:rFonts w:hint="eastAsia" w:ascii="仿宋_GB2312" w:hAnsi="仿宋_GB2312" w:eastAsia="仿宋_GB2312" w:cs="仿宋_GB2312"/>
          <w:color w:val="auto"/>
          <w:sz w:val="32"/>
          <w:szCs w:val="32"/>
        </w:rPr>
        <w:t>本部门2020年公务接待费支出</w:t>
      </w:r>
      <w:r>
        <w:rPr>
          <w:rFonts w:hint="eastAsia" w:ascii="仿宋_GB2312" w:hAnsi="仿宋_GB2312" w:eastAsia="仿宋_GB2312" w:cs="仿宋_GB2312"/>
          <w:color w:val="auto"/>
          <w:sz w:val="32"/>
          <w:szCs w:val="32"/>
          <w:lang w:val="en-US" w:eastAsia="zh-CN"/>
        </w:rPr>
        <w:t>0.08</w:t>
      </w:r>
      <w:r>
        <w:rPr>
          <w:rFonts w:hint="eastAsia" w:ascii="仿宋_GB2312" w:hAnsi="仿宋_GB2312" w:eastAsia="仿宋_GB2312" w:cs="仿宋_GB2312"/>
          <w:color w:val="auto"/>
          <w:sz w:val="32"/>
          <w:szCs w:val="32"/>
        </w:rPr>
        <w:t>万元，完成预算的</w:t>
      </w:r>
      <w:r>
        <w:rPr>
          <w:rFonts w:hint="eastAsia" w:ascii="仿宋_GB2312" w:hAnsi="仿宋_GB2312" w:eastAsia="仿宋_GB2312" w:cs="仿宋_GB2312"/>
          <w:color w:val="auto"/>
          <w:sz w:val="32"/>
          <w:szCs w:val="32"/>
          <w:lang w:val="en-US" w:eastAsia="zh-CN"/>
        </w:rPr>
        <w:t>13.33</w:t>
      </w:r>
      <w:r>
        <w:rPr>
          <w:rFonts w:hint="eastAsia" w:ascii="仿宋_GB2312" w:hAnsi="仿宋_GB2312" w:eastAsia="仿宋_GB2312" w:cs="仿宋_GB2312"/>
          <w:color w:val="auto"/>
          <w:sz w:val="32"/>
          <w:szCs w:val="32"/>
        </w:rPr>
        <w:t>%。发生</w:t>
      </w:r>
      <w:r>
        <w:rPr>
          <w:rFonts w:hint="eastAsia" w:ascii="仿宋_GB2312" w:hAnsi="Times New Roman" w:eastAsia="仿宋_GB2312" w:cs="Wingdings"/>
          <w:color w:val="auto"/>
          <w:sz w:val="32"/>
          <w:szCs w:val="32"/>
        </w:rPr>
        <w:t>公务接待共</w:t>
      </w:r>
      <w:r>
        <w:rPr>
          <w:rFonts w:hint="eastAsia" w:ascii="仿宋_GB2312" w:hAnsi="Times New Roman" w:eastAsia="仿宋_GB2312" w:cs="Wingdings"/>
          <w:color w:val="auto"/>
          <w:sz w:val="32"/>
          <w:szCs w:val="32"/>
          <w:lang w:val="en-US" w:eastAsia="zh-CN"/>
        </w:rPr>
        <w:t>3</w:t>
      </w:r>
      <w:r>
        <w:rPr>
          <w:rFonts w:hint="eastAsia" w:ascii="仿宋_GB2312" w:hAnsi="Times New Roman" w:eastAsia="仿宋_GB2312" w:cs="Wingdings"/>
          <w:color w:val="auto"/>
          <w:sz w:val="32"/>
          <w:szCs w:val="32"/>
        </w:rPr>
        <w:t>批次、</w:t>
      </w:r>
      <w:r>
        <w:rPr>
          <w:rFonts w:hint="eastAsia" w:ascii="仿宋_GB2312" w:hAnsi="Times New Roman" w:eastAsia="仿宋_GB2312" w:cs="Wingdings"/>
          <w:color w:val="auto"/>
          <w:sz w:val="32"/>
          <w:szCs w:val="32"/>
          <w:lang w:val="en-US" w:eastAsia="zh-CN"/>
        </w:rPr>
        <w:t>16</w:t>
      </w:r>
      <w:r>
        <w:rPr>
          <w:rFonts w:hint="eastAsia" w:ascii="仿宋_GB2312" w:hAnsi="Times New Roman" w:eastAsia="仿宋_GB2312" w:cs="Wingdings"/>
          <w:color w:val="auto"/>
          <w:sz w:val="32"/>
          <w:szCs w:val="32"/>
        </w:rPr>
        <w:t>人次。公务接待费支出较预算减少</w:t>
      </w:r>
      <w:r>
        <w:rPr>
          <w:rFonts w:hint="eastAsia" w:ascii="仿宋_GB2312" w:hAnsi="Times New Roman" w:eastAsia="仿宋_GB2312" w:cs="Wingdings"/>
          <w:color w:val="auto"/>
          <w:sz w:val="32"/>
          <w:szCs w:val="32"/>
          <w:lang w:val="en-US" w:eastAsia="zh-CN"/>
        </w:rPr>
        <w:t>0.52</w:t>
      </w:r>
      <w:r>
        <w:rPr>
          <w:rFonts w:hint="eastAsia" w:ascii="仿宋_GB2312" w:hAnsi="Times New Roman" w:eastAsia="仿宋_GB2312" w:cs="Wingdings"/>
          <w:color w:val="auto"/>
          <w:sz w:val="32"/>
          <w:szCs w:val="32"/>
        </w:rPr>
        <w:t>万元，降低</w:t>
      </w:r>
      <w:r>
        <w:rPr>
          <w:rFonts w:hint="eastAsia" w:ascii="仿宋_GB2312" w:hAnsi="Times New Roman" w:eastAsia="仿宋_GB2312" w:cs="Wingdings"/>
          <w:color w:val="auto"/>
          <w:sz w:val="32"/>
          <w:szCs w:val="32"/>
          <w:lang w:val="en-US" w:eastAsia="zh-CN"/>
        </w:rPr>
        <w:t>86.67</w:t>
      </w:r>
      <w:r>
        <w:rPr>
          <w:rFonts w:hint="eastAsia" w:ascii="仿宋_GB2312" w:hAnsi="Times New Roman" w:eastAsia="仿宋_GB2312" w:cs="Wingdings"/>
          <w:color w:val="auto"/>
          <w:sz w:val="32"/>
          <w:szCs w:val="32"/>
        </w:rPr>
        <w:t>%,主要是</w:t>
      </w:r>
      <w:r>
        <w:rPr>
          <w:rFonts w:hint="eastAsia" w:ascii="仿宋_GB2312" w:eastAsia="仿宋_GB2312" w:cs="DengXian-Regular"/>
          <w:color w:val="auto"/>
          <w:sz w:val="32"/>
          <w:szCs w:val="32"/>
          <w:lang w:eastAsia="zh-CN"/>
        </w:rPr>
        <w:t>贯彻落实有关规定，</w:t>
      </w:r>
      <w:r>
        <w:rPr>
          <w:rFonts w:hint="eastAsia" w:ascii="仿宋" w:hAnsi="仿宋" w:eastAsia="仿宋"/>
          <w:color w:val="auto"/>
          <w:sz w:val="32"/>
          <w:szCs w:val="32"/>
        </w:rPr>
        <w:t>严格控制公务接待，公务接待费减少</w:t>
      </w:r>
      <w:r>
        <w:rPr>
          <w:rFonts w:hint="eastAsia" w:ascii="仿宋_GB2312" w:hAnsi="Times New Roman" w:eastAsia="仿宋_GB2312" w:cs="DengXian-Regular"/>
          <w:color w:val="auto"/>
          <w:sz w:val="32"/>
          <w:szCs w:val="32"/>
        </w:rPr>
        <w:t>；</w:t>
      </w:r>
      <w:r>
        <w:rPr>
          <w:rFonts w:hint="eastAsia" w:ascii="仿宋_GB2312" w:hAnsi="Times New Roman" w:eastAsia="仿宋_GB2312" w:cs="Wingdings"/>
          <w:color w:val="auto"/>
          <w:sz w:val="32"/>
          <w:szCs w:val="32"/>
        </w:rPr>
        <w:t>较上年度减少</w:t>
      </w:r>
      <w:r>
        <w:rPr>
          <w:rFonts w:hint="eastAsia" w:ascii="仿宋_GB2312" w:hAnsi="Times New Roman" w:eastAsia="仿宋_GB2312" w:cs="Wingdings"/>
          <w:color w:val="auto"/>
          <w:sz w:val="32"/>
          <w:szCs w:val="32"/>
          <w:lang w:val="en-US" w:eastAsia="zh-CN"/>
        </w:rPr>
        <w:t>0.19</w:t>
      </w:r>
      <w:r>
        <w:rPr>
          <w:rFonts w:hint="eastAsia" w:ascii="仿宋_GB2312" w:hAnsi="Times New Roman" w:eastAsia="仿宋_GB2312" w:cs="Wingdings"/>
          <w:color w:val="auto"/>
          <w:sz w:val="32"/>
          <w:szCs w:val="32"/>
        </w:rPr>
        <w:t>万元，降低</w:t>
      </w:r>
      <w:r>
        <w:rPr>
          <w:rFonts w:hint="eastAsia" w:ascii="仿宋_GB2312" w:hAnsi="Times New Roman" w:eastAsia="仿宋_GB2312" w:cs="Wingdings"/>
          <w:color w:val="auto"/>
          <w:sz w:val="32"/>
          <w:szCs w:val="32"/>
          <w:lang w:val="en-US" w:eastAsia="zh-CN"/>
        </w:rPr>
        <w:t>70.37</w:t>
      </w:r>
      <w:r>
        <w:rPr>
          <w:rFonts w:hint="eastAsia" w:ascii="仿宋_GB2312" w:hAnsi="Times New Roman" w:eastAsia="仿宋_GB2312" w:cs="Wingdings"/>
          <w:color w:val="auto"/>
          <w:sz w:val="32"/>
          <w:szCs w:val="32"/>
        </w:rPr>
        <w:t>%,主要是</w:t>
      </w:r>
      <w:r>
        <w:rPr>
          <w:rFonts w:hint="eastAsia" w:ascii="仿宋_GB2312" w:eastAsia="仿宋_GB2312" w:cs="DengXian-Regular"/>
          <w:color w:val="auto"/>
          <w:sz w:val="32"/>
          <w:szCs w:val="32"/>
          <w:lang w:eastAsia="zh-CN"/>
        </w:rPr>
        <w:t>贯彻落实有关规定，</w:t>
      </w:r>
      <w:r>
        <w:rPr>
          <w:rFonts w:hint="eastAsia" w:ascii="仿宋" w:hAnsi="仿宋" w:eastAsia="仿宋"/>
          <w:color w:val="auto"/>
          <w:sz w:val="32"/>
          <w:szCs w:val="32"/>
        </w:rPr>
        <w:t>严格控制公务接待，公务接待费减少</w:t>
      </w:r>
      <w:r>
        <w:rPr>
          <w:rFonts w:hint="eastAsia" w:ascii="仿宋_GB2312" w:hAnsi="Times New Roman" w:eastAsia="仿宋_GB2312" w:cs="Wingdings"/>
          <w:color w:val="auto"/>
          <w:sz w:val="32"/>
          <w:szCs w:val="32"/>
        </w:rPr>
        <w:t>。</w:t>
      </w:r>
    </w:p>
    <w:p>
      <w:pPr>
        <w:adjustRightInd w:val="0"/>
        <w:snapToGrid w:val="0"/>
        <w:spacing w:line="600" w:lineRule="exact"/>
        <w:ind w:firstLine="640" w:firstLineChars="200"/>
        <w:rPr>
          <w:rFonts w:ascii="黑体" w:hAnsi="Times New Roman" w:eastAsia="黑体" w:cs="Times New Roman"/>
          <w:color w:val="auto"/>
          <w:sz w:val="32"/>
          <w:szCs w:val="40"/>
        </w:rPr>
      </w:pPr>
      <w:r>
        <w:rPr>
          <w:rFonts w:hint="eastAsia" w:ascii="黑体" w:hAnsi="Times New Roman" w:eastAsia="黑体" w:cs="Times New Roman"/>
          <w:color w:val="auto"/>
          <w:sz w:val="32"/>
          <w:szCs w:val="40"/>
        </w:rPr>
        <w:t>六、预算绩效情况说明</w:t>
      </w:r>
    </w:p>
    <w:p>
      <w:pPr>
        <w:adjustRightInd w:val="0"/>
        <w:snapToGrid w:val="0"/>
        <w:spacing w:line="600" w:lineRule="exact"/>
        <w:ind w:firstLine="643" w:firstLineChars="200"/>
        <w:rPr>
          <w:rFonts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（一）预算绩效管理工作开展情况</w:t>
      </w:r>
    </w:p>
    <w:p>
      <w:pPr>
        <w:adjustRightInd w:val="0"/>
        <w:snapToGrid w:val="0"/>
        <w:spacing w:line="60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根据预算绩效管理要求，本部门组织对2020年度项目支出全面开展绩效自评，其中，一般公共预算项目</w:t>
      </w:r>
      <w:r>
        <w:rPr>
          <w:rFonts w:hint="eastAsia" w:ascii="仿宋_GB2312" w:hAnsi="仿宋_GB2312" w:eastAsia="仿宋_GB2312" w:cs="仿宋_GB2312"/>
          <w:color w:val="auto"/>
          <w:sz w:val="32"/>
          <w:szCs w:val="32"/>
          <w:lang w:val="en-US" w:eastAsia="zh-CN"/>
        </w:rPr>
        <w:t>45</w:t>
      </w:r>
      <w:r>
        <w:rPr>
          <w:rFonts w:hint="eastAsia" w:ascii="仿宋_GB2312" w:hAnsi="仿宋_GB2312" w:eastAsia="仿宋_GB2312" w:cs="仿宋_GB2312"/>
          <w:color w:val="auto"/>
          <w:sz w:val="32"/>
          <w:szCs w:val="32"/>
        </w:rPr>
        <w:t>个，共涉及资金</w:t>
      </w:r>
      <w:r>
        <w:rPr>
          <w:rFonts w:hint="eastAsia" w:ascii="仿宋_GB2312" w:hAnsi="仿宋_GB2312" w:eastAsia="仿宋_GB2312" w:cs="仿宋_GB2312"/>
          <w:color w:val="auto"/>
          <w:sz w:val="32"/>
          <w:szCs w:val="32"/>
          <w:lang w:val="en-US" w:eastAsia="zh-CN"/>
        </w:rPr>
        <w:t>12834.71</w:t>
      </w:r>
      <w:r>
        <w:rPr>
          <w:rFonts w:hint="eastAsia" w:ascii="仿宋_GB2312" w:hAnsi="仿宋_GB2312" w:eastAsia="仿宋_GB2312" w:cs="仿宋_GB2312"/>
          <w:color w:val="auto"/>
          <w:sz w:val="32"/>
          <w:szCs w:val="32"/>
        </w:rPr>
        <w:t>万元，占一般公共预算项目支出总额的</w:t>
      </w:r>
      <w:r>
        <w:rPr>
          <w:rFonts w:hint="eastAsia" w:ascii="仿宋_GB2312" w:hAnsi="仿宋_GB2312" w:eastAsia="仿宋_GB2312" w:cs="仿宋_GB2312"/>
          <w:color w:val="auto"/>
          <w:sz w:val="32"/>
          <w:szCs w:val="32"/>
          <w:lang w:val="en-US" w:eastAsia="zh-CN"/>
        </w:rPr>
        <w:t>100</w:t>
      </w:r>
      <w:r>
        <w:rPr>
          <w:rFonts w:hint="eastAsia" w:ascii="仿宋_GB2312" w:hAnsi="仿宋_GB2312" w:eastAsia="仿宋_GB2312" w:cs="仿宋_GB2312"/>
          <w:color w:val="auto"/>
          <w:sz w:val="32"/>
          <w:szCs w:val="32"/>
        </w:rPr>
        <w:t>%；政府性基金预算项目</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个,共涉及资金</w:t>
      </w:r>
      <w:r>
        <w:rPr>
          <w:rFonts w:hint="eastAsia" w:ascii="仿宋_GB2312" w:hAnsi="仿宋_GB2312" w:eastAsia="仿宋_GB2312" w:cs="仿宋_GB2312"/>
          <w:color w:val="auto"/>
          <w:sz w:val="32"/>
          <w:szCs w:val="32"/>
          <w:lang w:val="en-US" w:eastAsia="zh-CN"/>
        </w:rPr>
        <w:t>50</w:t>
      </w:r>
      <w:r>
        <w:rPr>
          <w:rFonts w:hint="eastAsia" w:ascii="仿宋_GB2312" w:hAnsi="仿宋_GB2312" w:eastAsia="仿宋_GB2312" w:cs="仿宋_GB2312"/>
          <w:color w:val="auto"/>
          <w:sz w:val="32"/>
          <w:szCs w:val="32"/>
        </w:rPr>
        <w:t>万元，占政府性基金预算项目支出总额的</w:t>
      </w:r>
      <w:r>
        <w:rPr>
          <w:rFonts w:hint="eastAsia" w:ascii="仿宋_GB2312" w:hAnsi="仿宋_GB2312" w:eastAsia="仿宋_GB2312" w:cs="仿宋_GB2312"/>
          <w:color w:val="auto"/>
          <w:sz w:val="32"/>
          <w:szCs w:val="32"/>
          <w:lang w:val="en-US" w:eastAsia="zh-CN"/>
        </w:rPr>
        <w:t>100</w:t>
      </w:r>
      <w:r>
        <w:rPr>
          <w:rFonts w:hint="eastAsia" w:ascii="仿宋_GB2312" w:hAnsi="仿宋_GB2312" w:eastAsia="仿宋_GB2312" w:cs="仿宋_GB2312"/>
          <w:color w:val="auto"/>
          <w:sz w:val="32"/>
          <w:szCs w:val="32"/>
        </w:rPr>
        <w:t>%。</w:t>
      </w:r>
    </w:p>
    <w:p>
      <w:pPr>
        <w:adjustRightInd w:val="0"/>
        <w:snapToGrid w:val="0"/>
        <w:spacing w:line="600" w:lineRule="exact"/>
        <w:ind w:firstLine="643" w:firstLineChars="200"/>
        <w:rPr>
          <w:rFonts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（二） 部门决算中项目绩效自评结果</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 w:hAnsi="仿宋" w:eastAsia="仿宋"/>
          <w:color w:val="auto"/>
          <w:sz w:val="32"/>
          <w:szCs w:val="32"/>
        </w:rPr>
      </w:pPr>
      <w:r>
        <w:rPr>
          <w:rFonts w:hint="eastAsia" w:ascii="仿宋_GB2312" w:hAnsi="仿宋_GB2312" w:eastAsia="仿宋_GB2312" w:cs="仿宋_GB2312"/>
          <w:color w:val="auto"/>
          <w:sz w:val="32"/>
          <w:szCs w:val="32"/>
        </w:rPr>
        <w:t>组织对</w:t>
      </w:r>
      <w:r>
        <w:rPr>
          <w:rFonts w:hint="eastAsia" w:ascii="仿宋" w:hAnsi="仿宋" w:eastAsia="仿宋"/>
          <w:color w:val="auto"/>
          <w:sz w:val="32"/>
          <w:szCs w:val="32"/>
        </w:rPr>
        <w:t>城乡居民社会养老保险</w:t>
      </w:r>
      <w:r>
        <w:rPr>
          <w:rFonts w:hint="eastAsia" w:ascii="仿宋_GB2312" w:hAnsi="仿宋_GB2312" w:eastAsia="仿宋_GB2312" w:cs="仿宋_GB2312"/>
          <w:color w:val="auto"/>
          <w:sz w:val="32"/>
          <w:szCs w:val="32"/>
        </w:rPr>
        <w:t>“</w:t>
      </w:r>
      <w:r>
        <w:rPr>
          <w:rFonts w:hint="eastAsia" w:ascii="仿宋_GB2312" w:eastAsia="仿宋_GB2312"/>
          <w:color w:val="auto"/>
          <w:sz w:val="32"/>
          <w:szCs w:val="32"/>
          <w:lang w:eastAsia="zh-CN"/>
        </w:rPr>
        <w:t>丧葬补助金</w:t>
      </w:r>
      <w:r>
        <w:rPr>
          <w:rFonts w:hint="eastAsia" w:ascii="仿宋_GB2312" w:hAnsi="仿宋_GB2312" w:eastAsia="仿宋_GB2312" w:cs="仿宋_GB2312"/>
          <w:color w:val="auto"/>
          <w:sz w:val="32"/>
          <w:szCs w:val="32"/>
        </w:rPr>
        <w:t>”等项目开展了部门重点评价，涉及一般公共预算支出</w:t>
      </w:r>
      <w:r>
        <w:rPr>
          <w:rFonts w:hint="eastAsia" w:ascii="仿宋_GB2312" w:hAnsi="仿宋_GB2312" w:eastAsia="仿宋_GB2312" w:cs="仿宋_GB2312"/>
          <w:color w:val="auto"/>
          <w:sz w:val="32"/>
          <w:szCs w:val="32"/>
          <w:lang w:val="en-US" w:eastAsia="zh-CN"/>
        </w:rPr>
        <w:t>56.05</w:t>
      </w:r>
      <w:r>
        <w:rPr>
          <w:rFonts w:hint="eastAsia" w:ascii="仿宋_GB2312" w:hAnsi="仿宋_GB2312" w:eastAsia="仿宋_GB2312" w:cs="仿宋_GB2312"/>
          <w:color w:val="auto"/>
          <w:sz w:val="32"/>
          <w:szCs w:val="32"/>
        </w:rPr>
        <w:t>万元，政府性基金预算支出</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万元。从评价情况来看，</w:t>
      </w:r>
      <w:r>
        <w:rPr>
          <w:rFonts w:hint="eastAsia" w:ascii="仿宋" w:hAnsi="仿宋" w:eastAsia="仿宋" w:cs="仿宋"/>
          <w:color w:val="auto"/>
          <w:sz w:val="32"/>
          <w:szCs w:val="32"/>
          <w:lang w:eastAsia="zh-CN"/>
        </w:rPr>
        <w:t>该</w:t>
      </w:r>
      <w:r>
        <w:rPr>
          <w:rFonts w:hint="eastAsia" w:ascii="仿宋" w:hAnsi="仿宋" w:eastAsia="仿宋" w:cs="仿宋"/>
          <w:color w:val="auto"/>
          <w:sz w:val="32"/>
          <w:szCs w:val="32"/>
        </w:rPr>
        <w:t>项目预期绩效目标完成情况较好，</w:t>
      </w:r>
      <w:r>
        <w:rPr>
          <w:rFonts w:hint="eastAsia" w:ascii="仿宋" w:hAnsi="仿宋" w:eastAsia="仿宋"/>
          <w:color w:val="auto"/>
          <w:sz w:val="32"/>
          <w:szCs w:val="32"/>
        </w:rPr>
        <w:t>总得分8</w:t>
      </w:r>
      <w:r>
        <w:rPr>
          <w:rFonts w:hint="eastAsia" w:ascii="仿宋" w:hAnsi="仿宋" w:eastAsia="仿宋"/>
          <w:color w:val="auto"/>
          <w:sz w:val="32"/>
          <w:szCs w:val="32"/>
          <w:lang w:val="en-US" w:eastAsia="zh-CN"/>
        </w:rPr>
        <w:t>7</w:t>
      </w:r>
      <w:r>
        <w:rPr>
          <w:rFonts w:hint="eastAsia" w:ascii="仿宋" w:hAnsi="仿宋" w:eastAsia="仿宋"/>
          <w:color w:val="auto"/>
          <w:sz w:val="32"/>
          <w:szCs w:val="32"/>
        </w:rPr>
        <w:t>分，项目绩效</w:t>
      </w:r>
      <w:r>
        <w:rPr>
          <w:rFonts w:hint="eastAsia" w:ascii="仿宋" w:hAnsi="仿宋" w:eastAsia="仿宋" w:cs="仿宋"/>
          <w:color w:val="auto"/>
          <w:sz w:val="32"/>
          <w:szCs w:val="32"/>
        </w:rPr>
        <w:t>自评结果为优</w:t>
      </w:r>
      <w:r>
        <w:rPr>
          <w:rFonts w:hint="eastAsia" w:ascii="仿宋" w:hAnsi="仿宋" w:eastAsia="仿宋"/>
          <w:color w:val="auto"/>
          <w:sz w:val="32"/>
          <w:szCs w:val="32"/>
        </w:rPr>
        <w:t>秀</w:t>
      </w:r>
      <w:r>
        <w:rPr>
          <w:rFonts w:hint="eastAsia" w:ascii="仿宋" w:hAnsi="仿宋" w:eastAsia="仿宋" w:cs="仿宋"/>
          <w:color w:val="auto"/>
          <w:sz w:val="32"/>
          <w:szCs w:val="32"/>
        </w:rPr>
        <w:t>。</w:t>
      </w:r>
    </w:p>
    <w:p>
      <w:pPr>
        <w:keepNext w:val="0"/>
        <w:keepLines w:val="0"/>
        <w:pageBreakBefore w:val="0"/>
        <w:widowControl w:val="0"/>
        <w:shd w:val="clear" w:color="auto" w:fill="FFFFFF"/>
        <w:kinsoku/>
        <w:wordWrap/>
        <w:overflowPunct/>
        <w:topLinePunct w:val="0"/>
        <w:autoSpaceDE/>
        <w:autoSpaceDN/>
        <w:bidi w:val="0"/>
        <w:adjustRightInd/>
        <w:snapToGrid/>
        <w:spacing w:line="240" w:lineRule="auto"/>
        <w:ind w:firstLine="640"/>
        <w:jc w:val="left"/>
        <w:textAlignment w:val="auto"/>
        <w:rPr>
          <w:rFonts w:hint="eastAsia" w:ascii="仿宋_GB2312" w:hAnsi="仿宋_GB2312" w:eastAsia="仿宋_GB2312" w:cs="仿宋_GB2312"/>
          <w:color w:val="auto"/>
          <w:sz w:val="32"/>
          <w:szCs w:val="32"/>
        </w:rPr>
      </w:pPr>
      <w:r>
        <w:rPr>
          <w:rFonts w:hint="eastAsia" w:ascii="仿宋" w:hAnsi="仿宋" w:eastAsia="仿宋"/>
          <w:color w:val="auto"/>
          <w:sz w:val="32"/>
          <w:szCs w:val="32"/>
        </w:rPr>
        <w:t>城乡居民社会养老保险</w:t>
      </w:r>
      <w:r>
        <w:rPr>
          <w:rFonts w:hint="eastAsia" w:ascii="仿宋_GB2312" w:eastAsia="仿宋_GB2312"/>
          <w:color w:val="auto"/>
          <w:sz w:val="32"/>
          <w:szCs w:val="32"/>
          <w:lang w:eastAsia="zh-CN"/>
        </w:rPr>
        <w:t>丧葬补助金</w:t>
      </w:r>
      <w:r>
        <w:rPr>
          <w:rFonts w:hint="eastAsia" w:ascii="仿宋_GB2312" w:hAnsi="仿宋_GB2312" w:eastAsia="仿宋_GB2312" w:cs="仿宋_GB2312"/>
          <w:color w:val="auto"/>
          <w:sz w:val="32"/>
          <w:szCs w:val="32"/>
        </w:rPr>
        <w:t>项目绩效自评综述：根据年初设定的绩效目标，</w:t>
      </w:r>
      <w:r>
        <w:rPr>
          <w:rFonts w:hint="eastAsia" w:ascii="仿宋_GB2312" w:eastAsia="仿宋_GB2312"/>
          <w:color w:val="auto"/>
          <w:sz w:val="32"/>
          <w:szCs w:val="32"/>
          <w:lang w:eastAsia="zh-CN"/>
        </w:rPr>
        <w:t>该</w:t>
      </w:r>
      <w:r>
        <w:rPr>
          <w:rFonts w:hint="eastAsia" w:ascii="仿宋_GB2312" w:hAnsi="仿宋_GB2312" w:eastAsia="仿宋_GB2312" w:cs="仿宋_GB2312"/>
          <w:color w:val="auto"/>
          <w:sz w:val="32"/>
          <w:szCs w:val="32"/>
        </w:rPr>
        <w:t>项目绩效自评得分为</w:t>
      </w:r>
      <w:r>
        <w:rPr>
          <w:rFonts w:hint="eastAsia" w:ascii="仿宋_GB2312" w:hAnsi="仿宋_GB2312" w:eastAsia="仿宋_GB2312" w:cs="仿宋_GB2312"/>
          <w:color w:val="auto"/>
          <w:sz w:val="32"/>
          <w:szCs w:val="32"/>
          <w:lang w:val="en-US" w:eastAsia="zh-CN"/>
        </w:rPr>
        <w:t>87</w:t>
      </w:r>
      <w:r>
        <w:rPr>
          <w:rFonts w:hint="eastAsia" w:ascii="仿宋_GB2312" w:hAnsi="仿宋_GB2312" w:eastAsia="仿宋_GB2312" w:cs="仿宋_GB2312"/>
          <w:color w:val="auto"/>
          <w:sz w:val="32"/>
          <w:szCs w:val="32"/>
        </w:rPr>
        <w:t>分</w:t>
      </w:r>
      <w:r>
        <w:rPr>
          <w:rFonts w:hint="eastAsia" w:ascii="仿宋_GB2312" w:hAnsi="仿宋_GB2312" w:eastAsia="仿宋_GB2312" w:cs="仿宋_GB2312"/>
          <w:color w:val="auto"/>
          <w:sz w:val="32"/>
          <w:szCs w:val="32"/>
          <w:lang w:eastAsia="zh-CN"/>
        </w:rPr>
        <w:t>，</w:t>
      </w:r>
      <w:r>
        <w:rPr>
          <w:rFonts w:hint="eastAsia" w:ascii="仿宋" w:hAnsi="仿宋" w:eastAsia="仿宋"/>
          <w:color w:val="auto"/>
          <w:sz w:val="32"/>
          <w:szCs w:val="32"/>
        </w:rPr>
        <w:t>其中产出40分、预算执行</w:t>
      </w:r>
      <w:r>
        <w:rPr>
          <w:rFonts w:hint="eastAsia" w:ascii="仿宋" w:hAnsi="仿宋" w:eastAsia="仿宋"/>
          <w:color w:val="auto"/>
          <w:sz w:val="32"/>
          <w:szCs w:val="32"/>
          <w:lang w:val="en-US" w:eastAsia="zh-CN"/>
        </w:rPr>
        <w:t>8</w:t>
      </w:r>
      <w:r>
        <w:rPr>
          <w:rFonts w:hint="eastAsia" w:ascii="仿宋" w:hAnsi="仿宋" w:eastAsia="仿宋"/>
          <w:color w:val="auto"/>
          <w:sz w:val="32"/>
          <w:szCs w:val="32"/>
        </w:rPr>
        <w:t>分、效益</w:t>
      </w:r>
      <w:r>
        <w:rPr>
          <w:rFonts w:hint="eastAsia" w:ascii="仿宋" w:hAnsi="仿宋" w:eastAsia="仿宋"/>
          <w:color w:val="auto"/>
          <w:sz w:val="32"/>
          <w:szCs w:val="32"/>
          <w:lang w:val="en-US" w:eastAsia="zh-CN"/>
        </w:rPr>
        <w:t>3</w:t>
      </w:r>
      <w:r>
        <w:rPr>
          <w:rFonts w:hint="eastAsia" w:ascii="仿宋" w:hAnsi="仿宋" w:eastAsia="仿宋"/>
          <w:color w:val="auto"/>
          <w:sz w:val="32"/>
          <w:szCs w:val="32"/>
        </w:rPr>
        <w:t>0分和满意度</w:t>
      </w:r>
      <w:r>
        <w:rPr>
          <w:rFonts w:hint="eastAsia" w:ascii="仿宋" w:hAnsi="仿宋" w:eastAsia="仿宋"/>
          <w:color w:val="auto"/>
          <w:sz w:val="32"/>
          <w:szCs w:val="32"/>
          <w:lang w:val="en-US" w:eastAsia="zh-CN"/>
        </w:rPr>
        <w:t>9</w:t>
      </w:r>
      <w:r>
        <w:rPr>
          <w:rFonts w:hint="eastAsia" w:ascii="仿宋" w:hAnsi="仿宋" w:eastAsia="仿宋"/>
          <w:color w:val="auto"/>
          <w:sz w:val="32"/>
          <w:szCs w:val="32"/>
        </w:rPr>
        <w:t>分</w:t>
      </w:r>
      <w:r>
        <w:rPr>
          <w:rFonts w:hint="eastAsia" w:ascii="仿宋_GB2312" w:hAnsi="仿宋_GB2312" w:eastAsia="仿宋_GB2312" w:cs="仿宋_GB2312"/>
          <w:color w:val="auto"/>
          <w:sz w:val="32"/>
          <w:szCs w:val="32"/>
        </w:rPr>
        <w:t>（绩效自评表附后）。全年预算数为</w:t>
      </w:r>
      <w:r>
        <w:rPr>
          <w:rFonts w:hint="eastAsia" w:ascii="仿宋_GB2312" w:hAnsi="仿宋_GB2312" w:eastAsia="仿宋_GB2312" w:cs="仿宋_GB2312"/>
          <w:color w:val="auto"/>
          <w:sz w:val="32"/>
          <w:szCs w:val="32"/>
          <w:lang w:val="en-US" w:eastAsia="zh-CN"/>
        </w:rPr>
        <w:t>56.05</w:t>
      </w:r>
      <w:r>
        <w:rPr>
          <w:rFonts w:hint="eastAsia" w:ascii="仿宋_GB2312" w:hAnsi="仿宋_GB2312" w:eastAsia="仿宋_GB2312" w:cs="仿宋_GB2312"/>
          <w:color w:val="auto"/>
          <w:sz w:val="32"/>
          <w:szCs w:val="32"/>
        </w:rPr>
        <w:t>万元，执行数为</w:t>
      </w:r>
      <w:r>
        <w:rPr>
          <w:rFonts w:hint="eastAsia" w:ascii="仿宋_GB2312" w:hAnsi="仿宋_GB2312" w:eastAsia="仿宋_GB2312" w:cs="仿宋_GB2312"/>
          <w:color w:val="auto"/>
          <w:sz w:val="32"/>
          <w:szCs w:val="32"/>
          <w:lang w:val="en-US" w:eastAsia="zh-CN"/>
        </w:rPr>
        <w:t>41.67</w:t>
      </w:r>
      <w:r>
        <w:rPr>
          <w:rFonts w:hint="eastAsia" w:ascii="仿宋_GB2312" w:hAnsi="仿宋_GB2312" w:eastAsia="仿宋_GB2312" w:cs="仿宋_GB2312"/>
          <w:color w:val="auto"/>
          <w:sz w:val="32"/>
          <w:szCs w:val="32"/>
        </w:rPr>
        <w:t>万元，完成预算的</w:t>
      </w:r>
      <w:r>
        <w:rPr>
          <w:rFonts w:hint="eastAsia" w:ascii="仿宋" w:hAnsi="仿宋" w:eastAsia="仿宋"/>
          <w:color w:val="auto"/>
          <w:sz w:val="32"/>
          <w:szCs w:val="32"/>
          <w:lang w:val="en-US" w:eastAsia="zh-CN"/>
        </w:rPr>
        <w:t>74.34%，</w:t>
      </w:r>
      <w:r>
        <w:rPr>
          <w:rFonts w:hint="eastAsia" w:ascii="仿宋" w:hAnsi="仿宋" w:eastAsia="仿宋"/>
          <w:color w:val="auto"/>
          <w:sz w:val="32"/>
          <w:szCs w:val="32"/>
        </w:rPr>
        <w:t>项目综合绩效评价等级为优秀。</w:t>
      </w:r>
      <w:r>
        <w:rPr>
          <w:rFonts w:hint="eastAsia" w:ascii="仿宋_GB2312" w:hAnsi="仿宋_GB2312" w:eastAsia="仿宋_GB2312" w:cs="仿宋_GB2312"/>
          <w:color w:val="auto"/>
          <w:sz w:val="32"/>
          <w:szCs w:val="32"/>
        </w:rPr>
        <w:t>项目绩效目标完成情况：一是</w:t>
      </w:r>
      <w:r>
        <w:rPr>
          <w:rFonts w:hint="eastAsia" w:ascii="仿宋" w:hAnsi="仿宋" w:eastAsia="仿宋"/>
          <w:color w:val="auto"/>
          <w:sz w:val="32"/>
          <w:szCs w:val="32"/>
        </w:rPr>
        <w:t>60周岁以上符合领取基础养老金条件人数（月末数），不小于</w:t>
      </w:r>
      <w:r>
        <w:rPr>
          <w:rFonts w:hint="eastAsia" w:ascii="仿宋" w:hAnsi="仿宋" w:eastAsia="仿宋"/>
          <w:color w:val="auto"/>
          <w:sz w:val="32"/>
          <w:szCs w:val="32"/>
          <w:lang w:val="en-US" w:eastAsia="zh-CN"/>
        </w:rPr>
        <w:t>32320</w:t>
      </w:r>
      <w:r>
        <w:rPr>
          <w:rFonts w:hint="eastAsia" w:ascii="仿宋" w:hAnsi="仿宋" w:eastAsia="仿宋"/>
          <w:color w:val="auto"/>
          <w:sz w:val="32"/>
          <w:szCs w:val="32"/>
        </w:rPr>
        <w:t>人，实际完成32</w:t>
      </w:r>
      <w:r>
        <w:rPr>
          <w:rFonts w:hint="eastAsia" w:ascii="仿宋" w:hAnsi="仿宋" w:eastAsia="仿宋"/>
          <w:color w:val="auto"/>
          <w:sz w:val="32"/>
          <w:szCs w:val="32"/>
          <w:lang w:val="en-US" w:eastAsia="zh-CN"/>
        </w:rPr>
        <w:t>821</w:t>
      </w:r>
      <w:r>
        <w:rPr>
          <w:rFonts w:hint="eastAsia" w:ascii="仿宋" w:hAnsi="仿宋" w:eastAsia="仿宋"/>
          <w:color w:val="auto"/>
          <w:sz w:val="32"/>
          <w:szCs w:val="32"/>
        </w:rPr>
        <w:t>人</w:t>
      </w:r>
      <w:r>
        <w:rPr>
          <w:rFonts w:hint="eastAsia" w:ascii="仿宋_GB2312" w:hAnsi="仿宋_GB2312" w:eastAsia="仿宋_GB2312" w:cs="仿宋_GB2312"/>
          <w:color w:val="auto"/>
          <w:sz w:val="32"/>
          <w:szCs w:val="32"/>
        </w:rPr>
        <w:t>；二是</w:t>
      </w:r>
      <w:r>
        <w:rPr>
          <w:rFonts w:hint="eastAsia" w:ascii="仿宋" w:hAnsi="仿宋" w:eastAsia="仿宋"/>
          <w:color w:val="auto"/>
          <w:sz w:val="32"/>
          <w:szCs w:val="32"/>
        </w:rPr>
        <w:t>符合条件人员参保率不小于</w:t>
      </w:r>
      <w:r>
        <w:rPr>
          <w:rFonts w:hint="eastAsia" w:ascii="仿宋" w:hAnsi="仿宋" w:eastAsia="仿宋"/>
          <w:color w:val="auto"/>
          <w:sz w:val="32"/>
          <w:szCs w:val="32"/>
          <w:lang w:val="en-US" w:eastAsia="zh-CN"/>
        </w:rPr>
        <w:t>99%</w:t>
      </w:r>
      <w:r>
        <w:rPr>
          <w:rFonts w:hint="eastAsia" w:ascii="仿宋" w:hAnsi="仿宋" w:eastAsia="仿宋"/>
          <w:color w:val="auto"/>
          <w:sz w:val="32"/>
          <w:szCs w:val="32"/>
        </w:rPr>
        <w:t>，实际完成</w:t>
      </w:r>
      <w:r>
        <w:rPr>
          <w:rFonts w:hint="eastAsia" w:ascii="仿宋" w:hAnsi="仿宋" w:eastAsia="仿宋"/>
          <w:color w:val="auto"/>
          <w:sz w:val="32"/>
          <w:szCs w:val="32"/>
          <w:lang w:val="en-US" w:eastAsia="zh-CN"/>
        </w:rPr>
        <w:t>100%</w:t>
      </w:r>
      <w:r>
        <w:rPr>
          <w:rFonts w:hint="eastAsia" w:ascii="仿宋_GB2312" w:hAnsi="仿宋_GB2312" w:eastAsia="仿宋_GB2312" w:cs="仿宋_GB2312"/>
          <w:color w:val="auto"/>
          <w:sz w:val="32"/>
          <w:szCs w:val="32"/>
          <w:lang w:eastAsia="zh-CN"/>
        </w:rPr>
        <w:t>；三是</w:t>
      </w:r>
      <w:r>
        <w:rPr>
          <w:rFonts w:hint="eastAsia" w:ascii="仿宋" w:hAnsi="仿宋" w:eastAsia="仿宋"/>
          <w:color w:val="auto"/>
          <w:sz w:val="32"/>
          <w:szCs w:val="32"/>
        </w:rPr>
        <w:t>养老金发放及时率不低于95%，实际完成</w:t>
      </w:r>
      <w:r>
        <w:rPr>
          <w:rFonts w:hint="eastAsia" w:ascii="仿宋" w:hAnsi="仿宋" w:eastAsia="仿宋"/>
          <w:color w:val="auto"/>
          <w:sz w:val="32"/>
          <w:szCs w:val="32"/>
          <w:lang w:val="en-US" w:eastAsia="zh-CN"/>
        </w:rPr>
        <w:t>98</w:t>
      </w:r>
      <w:r>
        <w:rPr>
          <w:rFonts w:hint="eastAsia" w:ascii="仿宋" w:hAnsi="仿宋" w:eastAsia="仿宋"/>
          <w:color w:val="auto"/>
          <w:sz w:val="32"/>
          <w:szCs w:val="32"/>
        </w:rPr>
        <w:t>%</w:t>
      </w:r>
      <w:r>
        <w:rPr>
          <w:rFonts w:hint="eastAsia" w:ascii="仿宋" w:hAnsi="仿宋" w:eastAsia="仿宋"/>
          <w:color w:val="auto"/>
          <w:sz w:val="32"/>
          <w:szCs w:val="32"/>
          <w:lang w:eastAsia="zh-CN"/>
        </w:rPr>
        <w:t>；四是</w:t>
      </w:r>
      <w:r>
        <w:rPr>
          <w:rFonts w:hint="eastAsia" w:ascii="仿宋" w:hAnsi="仿宋" w:eastAsia="仿宋"/>
          <w:color w:val="auto"/>
          <w:sz w:val="32"/>
          <w:szCs w:val="32"/>
        </w:rPr>
        <w:t>政府对60周岁以上领取基础养老金月人均补助水平不小于</w:t>
      </w:r>
      <w:r>
        <w:rPr>
          <w:rFonts w:hint="eastAsia" w:ascii="仿宋" w:hAnsi="仿宋" w:eastAsia="仿宋"/>
          <w:color w:val="auto"/>
          <w:sz w:val="32"/>
          <w:szCs w:val="32"/>
          <w:lang w:val="en-US" w:eastAsia="zh-CN"/>
        </w:rPr>
        <w:t>110.5</w:t>
      </w:r>
      <w:r>
        <w:rPr>
          <w:rFonts w:hint="eastAsia" w:ascii="仿宋" w:hAnsi="仿宋" w:eastAsia="仿宋"/>
          <w:color w:val="auto"/>
          <w:sz w:val="32"/>
          <w:szCs w:val="32"/>
        </w:rPr>
        <w:t>元，实际补助水平</w:t>
      </w:r>
      <w:r>
        <w:rPr>
          <w:rFonts w:hint="eastAsia" w:ascii="仿宋" w:hAnsi="仿宋" w:eastAsia="仿宋"/>
          <w:color w:val="auto"/>
          <w:sz w:val="32"/>
          <w:szCs w:val="32"/>
          <w:lang w:val="en-US" w:eastAsia="zh-CN"/>
        </w:rPr>
        <w:t>111.9</w:t>
      </w:r>
      <w:r>
        <w:rPr>
          <w:rFonts w:hint="eastAsia" w:ascii="仿宋" w:hAnsi="仿宋" w:eastAsia="仿宋"/>
          <w:color w:val="auto"/>
          <w:sz w:val="32"/>
          <w:szCs w:val="32"/>
        </w:rPr>
        <w:t>元</w:t>
      </w:r>
      <w:r>
        <w:rPr>
          <w:rFonts w:hint="eastAsia" w:ascii="仿宋" w:hAnsi="仿宋" w:eastAsia="仿宋"/>
          <w:color w:val="auto"/>
          <w:sz w:val="32"/>
          <w:szCs w:val="32"/>
          <w:lang w:eastAsia="zh-CN"/>
        </w:rPr>
        <w:t>；五是</w:t>
      </w:r>
      <w:r>
        <w:rPr>
          <w:rFonts w:hint="eastAsia" w:ascii="仿宋" w:hAnsi="仿宋" w:eastAsia="仿宋"/>
          <w:color w:val="auto"/>
          <w:sz w:val="32"/>
          <w:szCs w:val="32"/>
        </w:rPr>
        <w:t>促进居民收入稳步提高月人均基础养老金不低于全省平均水平不低于</w:t>
      </w:r>
      <w:r>
        <w:rPr>
          <w:rFonts w:hint="eastAsia" w:ascii="仿宋" w:hAnsi="仿宋" w:eastAsia="仿宋"/>
          <w:color w:val="auto"/>
          <w:sz w:val="32"/>
          <w:szCs w:val="32"/>
          <w:lang w:val="en-US" w:eastAsia="zh-CN"/>
        </w:rPr>
        <w:t>110.5</w:t>
      </w:r>
      <w:r>
        <w:rPr>
          <w:rFonts w:hint="eastAsia" w:ascii="仿宋" w:hAnsi="仿宋" w:eastAsia="仿宋"/>
          <w:color w:val="auto"/>
          <w:sz w:val="32"/>
          <w:szCs w:val="32"/>
        </w:rPr>
        <w:t>元，实际收入</w:t>
      </w:r>
      <w:r>
        <w:rPr>
          <w:rFonts w:hint="eastAsia" w:ascii="仿宋" w:hAnsi="仿宋" w:eastAsia="仿宋"/>
          <w:color w:val="auto"/>
          <w:sz w:val="32"/>
          <w:szCs w:val="32"/>
          <w:lang w:val="en-US" w:eastAsia="zh-CN"/>
        </w:rPr>
        <w:t>111.9</w:t>
      </w:r>
      <w:r>
        <w:rPr>
          <w:rFonts w:hint="eastAsia" w:ascii="仿宋" w:hAnsi="仿宋" w:eastAsia="仿宋"/>
          <w:color w:val="auto"/>
          <w:sz w:val="32"/>
          <w:szCs w:val="32"/>
        </w:rPr>
        <w:t>元</w:t>
      </w:r>
      <w:r>
        <w:rPr>
          <w:rFonts w:hint="eastAsia" w:ascii="仿宋" w:hAnsi="仿宋" w:eastAsia="仿宋"/>
          <w:color w:val="auto"/>
          <w:sz w:val="32"/>
          <w:szCs w:val="32"/>
          <w:lang w:eastAsia="zh-CN"/>
        </w:rPr>
        <w:t>；六是</w:t>
      </w:r>
      <w:r>
        <w:rPr>
          <w:rFonts w:hint="eastAsia" w:ascii="仿宋" w:hAnsi="仿宋" w:eastAsia="仿宋"/>
          <w:color w:val="auto"/>
          <w:sz w:val="32"/>
          <w:szCs w:val="32"/>
        </w:rPr>
        <w:t>城乡居民政策知晓率不低于90%，实际80%</w:t>
      </w:r>
      <w:r>
        <w:rPr>
          <w:rFonts w:hint="eastAsia" w:ascii="仿宋" w:hAnsi="仿宋" w:eastAsia="仿宋"/>
          <w:color w:val="auto"/>
          <w:sz w:val="32"/>
          <w:szCs w:val="32"/>
          <w:lang w:eastAsia="zh-CN"/>
        </w:rPr>
        <w:t>，总体来看较好的完成了年度工作任务。</w:t>
      </w:r>
      <w:r>
        <w:rPr>
          <w:rFonts w:hint="eastAsia" w:ascii="仿宋_GB2312" w:hAnsi="仿宋_GB2312" w:eastAsia="仿宋_GB2312" w:cs="仿宋_GB2312"/>
          <w:color w:val="auto"/>
          <w:sz w:val="32"/>
          <w:szCs w:val="32"/>
        </w:rPr>
        <w:t>发现的主要问题及原因：一是</w:t>
      </w:r>
      <w:r>
        <w:rPr>
          <w:rFonts w:hint="eastAsia" w:ascii="仿宋" w:hAnsi="仿宋" w:eastAsia="仿宋"/>
          <w:color w:val="auto"/>
          <w:sz w:val="32"/>
          <w:szCs w:val="32"/>
        </w:rPr>
        <w:t>城居保政策对中青年城乡居民，特别对18-35岁城乡居民的参保吸引力不够</w:t>
      </w:r>
      <w:r>
        <w:rPr>
          <w:rFonts w:hint="eastAsia" w:ascii="仿宋_GB2312" w:hAnsi="仿宋_GB2312" w:eastAsia="仿宋_GB2312" w:cs="仿宋_GB2312"/>
          <w:color w:val="auto"/>
          <w:sz w:val="32"/>
          <w:szCs w:val="32"/>
        </w:rPr>
        <w:t>；二是</w:t>
      </w:r>
      <w:r>
        <w:rPr>
          <w:rFonts w:hint="eastAsia" w:ascii="仿宋" w:hAnsi="仿宋" w:eastAsia="仿宋"/>
          <w:color w:val="auto"/>
          <w:sz w:val="32"/>
          <w:szCs w:val="32"/>
        </w:rPr>
        <w:t>政策宣传发动工作有待加强</w:t>
      </w:r>
      <w:r>
        <w:rPr>
          <w:rFonts w:hint="eastAsia" w:ascii="仿宋_GB2312" w:hAnsi="仿宋_GB2312" w:eastAsia="仿宋_GB2312" w:cs="仿宋_GB2312"/>
          <w:color w:val="auto"/>
          <w:sz w:val="32"/>
          <w:szCs w:val="32"/>
        </w:rPr>
        <w:t>。下一步改进措施：一是</w:t>
      </w:r>
      <w:r>
        <w:rPr>
          <w:rFonts w:hint="eastAsia" w:ascii="仿宋" w:hAnsi="仿宋" w:eastAsia="仿宋"/>
          <w:color w:val="auto"/>
          <w:sz w:val="32"/>
          <w:szCs w:val="32"/>
        </w:rPr>
        <w:t>继续制定鼓励中青年城乡居民积极参保，长期缴费，长缴多得的激励政策，建立缴费年限与基础养老待遇之间的动态激励机制</w:t>
      </w:r>
      <w:r>
        <w:rPr>
          <w:rFonts w:hint="eastAsia" w:ascii="仿宋_GB2312" w:hAnsi="仿宋_GB2312" w:eastAsia="仿宋_GB2312" w:cs="仿宋_GB2312"/>
          <w:color w:val="auto"/>
          <w:sz w:val="32"/>
          <w:szCs w:val="32"/>
        </w:rPr>
        <w:t>；二是</w:t>
      </w:r>
      <w:r>
        <w:rPr>
          <w:rFonts w:hint="eastAsia" w:ascii="仿宋" w:hAnsi="仿宋" w:eastAsia="仿宋"/>
          <w:color w:val="auto"/>
          <w:sz w:val="32"/>
          <w:szCs w:val="32"/>
        </w:rPr>
        <w:t>继续加大城居保政策宣传力度</w:t>
      </w:r>
      <w:r>
        <w:rPr>
          <w:rFonts w:hint="eastAsia" w:ascii="仿宋_GB2312" w:hAnsi="仿宋_GB2312" w:eastAsia="仿宋_GB2312" w:cs="仿宋_GB2312"/>
          <w:color w:val="auto"/>
          <w:sz w:val="32"/>
          <w:szCs w:val="32"/>
        </w:rPr>
        <w:t>。</w:t>
      </w:r>
    </w:p>
    <w:p>
      <w:pPr>
        <w:keepNext w:val="0"/>
        <w:keepLines w:val="0"/>
        <w:pageBreakBefore w:val="0"/>
        <w:widowControl w:val="0"/>
        <w:shd w:val="clear" w:color="auto" w:fill="FFFFFF"/>
        <w:kinsoku/>
        <w:wordWrap/>
        <w:overflowPunct/>
        <w:topLinePunct w:val="0"/>
        <w:autoSpaceDE/>
        <w:autoSpaceDN/>
        <w:bidi w:val="0"/>
        <w:adjustRightInd/>
        <w:snapToGrid/>
        <w:spacing w:line="240" w:lineRule="auto"/>
        <w:jc w:val="center"/>
        <w:textAlignment w:val="auto"/>
        <w:rPr>
          <w:rFonts w:hint="eastAsia" w:ascii="宋体" w:hAnsi="宋体" w:eastAsia="宋体" w:cs="宋体"/>
          <w:b/>
          <w:bCs/>
          <w:sz w:val="36"/>
          <w:szCs w:val="36"/>
        </w:rPr>
      </w:pPr>
      <w:r>
        <w:rPr>
          <w:rFonts w:hint="eastAsia" w:ascii="宋体" w:hAnsi="宋体" w:eastAsia="宋体" w:cs="宋体"/>
          <w:b/>
          <w:bCs/>
          <w:sz w:val="36"/>
          <w:szCs w:val="36"/>
        </w:rPr>
        <w:t>县级部门预算项目绩效自评表</w:t>
      </w:r>
    </w:p>
    <w:p>
      <w:pPr>
        <w:keepNext w:val="0"/>
        <w:keepLines w:val="0"/>
        <w:pageBreakBefore w:val="0"/>
        <w:widowControl w:val="0"/>
        <w:shd w:val="clear" w:color="auto" w:fill="FFFFFF"/>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val="0"/>
          <w:sz w:val="28"/>
          <w:szCs w:val="28"/>
        </w:rPr>
      </w:pPr>
      <w:r>
        <w:rPr>
          <w:rFonts w:hint="eastAsia" w:ascii="宋体" w:hAnsi="宋体" w:eastAsia="宋体" w:cs="宋体"/>
          <w:b w:val="0"/>
          <w:bCs w:val="0"/>
          <w:sz w:val="20"/>
          <w:szCs w:val="20"/>
        </w:rPr>
        <w:t>（ 2020年度）</w:t>
      </w:r>
    </w:p>
    <w:p>
      <w:pPr>
        <w:keepNext w:val="0"/>
        <w:keepLines w:val="0"/>
        <w:pageBreakBefore w:val="0"/>
        <w:widowControl w:val="0"/>
        <w:shd w:val="clear" w:color="auto" w:fill="FFFFFF"/>
        <w:kinsoku/>
        <w:wordWrap/>
        <w:overflowPunct/>
        <w:topLinePunct w:val="0"/>
        <w:autoSpaceDE/>
        <w:autoSpaceDN/>
        <w:bidi w:val="0"/>
        <w:adjustRightInd/>
        <w:snapToGrid/>
        <w:spacing w:line="240" w:lineRule="auto"/>
        <w:jc w:val="left"/>
        <w:textAlignment w:val="auto"/>
        <w:rPr>
          <w:rFonts w:hint="default" w:ascii="宋体" w:hAnsi="宋体" w:eastAsia="宋体" w:cs="宋体"/>
          <w:b w:val="0"/>
          <w:bCs w:val="0"/>
          <w:sz w:val="16"/>
          <w:szCs w:val="16"/>
          <w:lang w:val="en-US" w:eastAsia="zh-CN"/>
        </w:rPr>
      </w:pPr>
      <w:r>
        <w:rPr>
          <w:rFonts w:hint="eastAsia" w:ascii="宋体" w:hAnsi="宋体" w:eastAsia="宋体" w:cs="宋体"/>
          <w:b w:val="0"/>
          <w:bCs w:val="0"/>
          <w:sz w:val="16"/>
          <w:szCs w:val="16"/>
        </w:rPr>
        <w:t>填报单位：高邑县城乡居民社会养老保险管理中心</w:t>
      </w:r>
      <w:r>
        <w:rPr>
          <w:rFonts w:hint="eastAsia" w:ascii="宋体" w:hAnsi="宋体" w:eastAsia="宋体" w:cs="宋体"/>
          <w:b w:val="0"/>
          <w:bCs w:val="0"/>
          <w:sz w:val="16"/>
          <w:szCs w:val="16"/>
          <w:lang w:val="en-US" w:eastAsia="zh-CN"/>
        </w:rPr>
        <w:t xml:space="preserve">                                           金额单位：万元</w:t>
      </w:r>
    </w:p>
    <w:tbl>
      <w:tblPr>
        <w:tblStyle w:val="6"/>
        <w:tblW w:w="8493" w:type="dxa"/>
        <w:tblInd w:w="0" w:type="dxa"/>
        <w:shd w:val="clear" w:color="auto" w:fill="auto"/>
        <w:tblLayout w:type="fixed"/>
        <w:tblCellMar>
          <w:top w:w="0" w:type="dxa"/>
          <w:left w:w="0" w:type="dxa"/>
          <w:bottom w:w="0" w:type="dxa"/>
          <w:right w:w="0" w:type="dxa"/>
        </w:tblCellMar>
      </w:tblPr>
      <w:tblGrid>
        <w:gridCol w:w="1006"/>
        <w:gridCol w:w="894"/>
        <w:gridCol w:w="893"/>
        <w:gridCol w:w="1031"/>
        <w:gridCol w:w="1168"/>
        <w:gridCol w:w="894"/>
        <w:gridCol w:w="894"/>
        <w:gridCol w:w="1713"/>
      </w:tblGrid>
      <w:tr>
        <w:tblPrEx>
          <w:shd w:val="clear" w:color="auto" w:fill="auto"/>
          <w:tblCellMar>
            <w:top w:w="0" w:type="dxa"/>
            <w:left w:w="0" w:type="dxa"/>
            <w:bottom w:w="0" w:type="dxa"/>
            <w:right w:w="0" w:type="dxa"/>
          </w:tblCellMar>
        </w:tblPrEx>
        <w:trPr>
          <w:trHeight w:val="292" w:hRule="atLeast"/>
        </w:trPr>
        <w:tc>
          <w:tcPr>
            <w:tcW w:w="100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11"/>
                <w:lang w:val="en-US" w:eastAsia="zh-CN" w:bidi="ar"/>
              </w:rPr>
              <w:t>一、</w:t>
            </w:r>
            <w:r>
              <w:rPr>
                <w:rStyle w:val="12"/>
                <w:rFonts w:eastAsia="宋体"/>
                <w:lang w:val="en-US" w:eastAsia="zh-CN" w:bidi="ar"/>
              </w:rPr>
              <w:t xml:space="preserve"> </w:t>
            </w:r>
            <w:r>
              <w:rPr>
                <w:rStyle w:val="11"/>
                <w:lang w:val="en-US" w:eastAsia="zh-CN" w:bidi="ar"/>
              </w:rPr>
              <w:t>基本情况</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19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4"/>
                <w:szCs w:val="14"/>
                <w:u w:val="none"/>
              </w:rPr>
            </w:pPr>
            <w:r>
              <w:rPr>
                <w:rFonts w:hint="eastAsia" w:ascii="宋体" w:hAnsi="宋体" w:eastAsia="宋体" w:cs="宋体"/>
                <w:i w:val="0"/>
                <w:color w:val="000000"/>
                <w:kern w:val="0"/>
                <w:sz w:val="14"/>
                <w:szCs w:val="14"/>
                <w:u w:val="none"/>
                <w:lang w:val="en-US" w:eastAsia="zh-CN" w:bidi="ar"/>
              </w:rPr>
              <w:t>丧葬补助金</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50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高邑县城乡居民社会养老保险管理中心</w:t>
            </w:r>
          </w:p>
        </w:tc>
      </w:tr>
      <w:tr>
        <w:tblPrEx>
          <w:tblCellMar>
            <w:top w:w="0" w:type="dxa"/>
            <w:left w:w="0" w:type="dxa"/>
            <w:bottom w:w="0" w:type="dxa"/>
            <w:right w:w="0" w:type="dxa"/>
          </w:tblCellMar>
        </w:tblPrEx>
        <w:trPr>
          <w:trHeight w:val="227" w:hRule="atLeast"/>
        </w:trPr>
        <w:tc>
          <w:tcPr>
            <w:tcW w:w="100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178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1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178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shd w:val="clear" w:color="auto" w:fill="auto"/>
          <w:tblCellMar>
            <w:top w:w="0" w:type="dxa"/>
            <w:left w:w="0" w:type="dxa"/>
            <w:bottom w:w="0" w:type="dxa"/>
            <w:right w:w="0" w:type="dxa"/>
          </w:tblCellMar>
        </w:tblPrEx>
        <w:trPr>
          <w:trHeight w:val="227" w:hRule="atLeast"/>
        </w:trPr>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56.052</w:t>
            </w:r>
          </w:p>
        </w:tc>
        <w:tc>
          <w:tcPr>
            <w:tcW w:w="10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56.052</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41.6664</w:t>
            </w:r>
          </w:p>
        </w:tc>
        <w:tc>
          <w:tcPr>
            <w:tcW w:w="17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74%</w:t>
            </w:r>
          </w:p>
        </w:tc>
      </w:tr>
      <w:tr>
        <w:tblPrEx>
          <w:shd w:val="clear" w:color="auto" w:fill="auto"/>
          <w:tblCellMar>
            <w:top w:w="0" w:type="dxa"/>
            <w:left w:w="0" w:type="dxa"/>
            <w:bottom w:w="0" w:type="dxa"/>
            <w:right w:w="0" w:type="dxa"/>
          </w:tblCellMar>
        </w:tblPrEx>
        <w:trPr>
          <w:trHeight w:val="274" w:hRule="atLeast"/>
        </w:trPr>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56.052</w:t>
            </w:r>
          </w:p>
        </w:tc>
        <w:tc>
          <w:tcPr>
            <w:tcW w:w="10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56.052</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41.6664</w:t>
            </w:r>
          </w:p>
        </w:tc>
        <w:tc>
          <w:tcPr>
            <w:tcW w:w="17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50" w:hRule="atLeast"/>
        </w:trPr>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10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7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189" w:hRule="atLeast"/>
        </w:trPr>
        <w:tc>
          <w:tcPr>
            <w:tcW w:w="100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281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shd w:val="clear" w:color="auto" w:fill="auto"/>
          <w:tblCellMar>
            <w:top w:w="0" w:type="dxa"/>
            <w:left w:w="0" w:type="dxa"/>
            <w:bottom w:w="0" w:type="dxa"/>
            <w:right w:w="0" w:type="dxa"/>
          </w:tblCellMar>
        </w:tblPrEx>
        <w:trPr>
          <w:trHeight w:val="312" w:hRule="atLeast"/>
        </w:trPr>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1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城乡居民基本养老保险参保人员死亡后，由其法定继承人（或指定受益人）按规定办理相关手续后，为其发放一次性丧葬补助金。</w:t>
            </w:r>
          </w:p>
        </w:tc>
        <w:tc>
          <w:tcPr>
            <w:tcW w:w="295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2"/>
                <w:szCs w:val="12"/>
                <w:u w:val="none"/>
              </w:rPr>
            </w:pPr>
            <w:r>
              <w:rPr>
                <w:rFonts w:hint="eastAsia" w:ascii="宋体" w:hAnsi="宋体" w:eastAsia="宋体" w:cs="宋体"/>
                <w:i w:val="0"/>
                <w:color w:val="000000"/>
                <w:kern w:val="0"/>
                <w:sz w:val="12"/>
                <w:szCs w:val="12"/>
                <w:u w:val="none"/>
                <w:lang w:val="en-US" w:eastAsia="zh-CN" w:bidi="ar"/>
              </w:rPr>
              <w:t>已完成年度预期目标，城乡居民基本养老保险参保人员死亡后，由其法定继承人（或指定受益人）按规定办理相关手续后，已为其发放一次性丧葬补助金。</w:t>
            </w:r>
          </w:p>
        </w:tc>
        <w:tc>
          <w:tcPr>
            <w:tcW w:w="17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312" w:hRule="atLeast"/>
        </w:trPr>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1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95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17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10" w:hRule="atLeast"/>
        </w:trPr>
        <w:tc>
          <w:tcPr>
            <w:tcW w:w="10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1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6"/>
                <w:szCs w:val="16"/>
                <w:u w:val="none"/>
              </w:rPr>
            </w:pPr>
          </w:p>
        </w:tc>
        <w:tc>
          <w:tcPr>
            <w:tcW w:w="295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2"/>
                <w:szCs w:val="12"/>
                <w:u w:val="none"/>
              </w:rPr>
            </w:pPr>
          </w:p>
        </w:tc>
        <w:tc>
          <w:tcPr>
            <w:tcW w:w="17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408" w:hRule="atLeast"/>
        </w:trPr>
        <w:tc>
          <w:tcPr>
            <w:tcW w:w="1006"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Style w:val="11"/>
                <w:lang w:val="en-US" w:eastAsia="zh-CN" w:bidi="ar"/>
              </w:rPr>
              <w:t>四、</w:t>
            </w:r>
            <w:r>
              <w:rPr>
                <w:rStyle w:val="12"/>
                <w:rFonts w:eastAsia="宋体"/>
                <w:lang w:val="en-US" w:eastAsia="zh-CN" w:bidi="ar"/>
              </w:rPr>
              <w:t xml:space="preserve"> </w:t>
            </w:r>
            <w:r>
              <w:rPr>
                <w:rStyle w:val="11"/>
                <w:lang w:val="en-US" w:eastAsia="zh-CN" w:bidi="ar"/>
              </w:rPr>
              <w:t>年度绩效指标完成情况</w:t>
            </w:r>
          </w:p>
        </w:tc>
        <w:tc>
          <w:tcPr>
            <w:tcW w:w="894"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1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shd w:val="clear" w:color="auto" w:fill="auto"/>
          <w:tblCellMar>
            <w:top w:w="0" w:type="dxa"/>
            <w:left w:w="0" w:type="dxa"/>
            <w:bottom w:w="0" w:type="dxa"/>
            <w:right w:w="0" w:type="dxa"/>
          </w:tblCellMar>
        </w:tblPrEx>
        <w:trPr>
          <w:trHeight w:val="408" w:hRule="atLeast"/>
        </w:trPr>
        <w:tc>
          <w:tcPr>
            <w:tcW w:w="100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产出指标（40）</w:t>
            </w:r>
          </w:p>
        </w:tc>
        <w:tc>
          <w:tcPr>
            <w:tcW w:w="893" w:type="dxa"/>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1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60周岁以上符合领取基础养老金条件人数（月末数）</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≥32320人</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32821人</w:t>
            </w:r>
          </w:p>
        </w:tc>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r>
              <w:rPr>
                <w:rStyle w:val="11"/>
                <w:lang w:val="en-US" w:eastAsia="zh-CN" w:bidi="ar"/>
              </w:rPr>
              <w:t>0分</w:t>
            </w:r>
          </w:p>
        </w:tc>
      </w:tr>
      <w:tr>
        <w:tblPrEx>
          <w:shd w:val="clear" w:color="auto" w:fill="auto"/>
          <w:tblCellMar>
            <w:top w:w="0" w:type="dxa"/>
            <w:left w:w="0" w:type="dxa"/>
            <w:bottom w:w="0" w:type="dxa"/>
            <w:right w:w="0" w:type="dxa"/>
          </w:tblCellMar>
        </w:tblPrEx>
        <w:trPr>
          <w:trHeight w:val="408" w:hRule="atLeast"/>
        </w:trPr>
        <w:tc>
          <w:tcPr>
            <w:tcW w:w="100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3" w:type="dxa"/>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1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符合条件人员参保率（实际参保人数/符合参保条件的人数）</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≥99%</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r>
              <w:rPr>
                <w:rStyle w:val="11"/>
                <w:lang w:val="en-US" w:eastAsia="zh-CN" w:bidi="ar"/>
              </w:rPr>
              <w:t>0分</w:t>
            </w:r>
          </w:p>
        </w:tc>
      </w:tr>
      <w:tr>
        <w:tblPrEx>
          <w:shd w:val="clear" w:color="auto" w:fill="auto"/>
          <w:tblCellMar>
            <w:top w:w="0" w:type="dxa"/>
            <w:left w:w="0" w:type="dxa"/>
            <w:bottom w:w="0" w:type="dxa"/>
            <w:right w:w="0" w:type="dxa"/>
          </w:tblCellMar>
        </w:tblPrEx>
        <w:trPr>
          <w:trHeight w:val="408" w:hRule="atLeast"/>
        </w:trPr>
        <w:tc>
          <w:tcPr>
            <w:tcW w:w="100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3"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1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养老金发放及时率（月末实际领取养老金人数/月末应领取养老金人数）</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w:t>
            </w:r>
            <w:r>
              <w:rPr>
                <w:rStyle w:val="11"/>
                <w:lang w:val="en-US" w:eastAsia="zh-CN" w:bidi="ar"/>
              </w:rPr>
              <w:t>5%</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98%</w:t>
            </w:r>
          </w:p>
        </w:tc>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10分</w:t>
            </w:r>
          </w:p>
        </w:tc>
      </w:tr>
      <w:tr>
        <w:tblPrEx>
          <w:shd w:val="clear" w:color="auto" w:fill="auto"/>
          <w:tblCellMar>
            <w:top w:w="0" w:type="dxa"/>
            <w:left w:w="0" w:type="dxa"/>
            <w:bottom w:w="0" w:type="dxa"/>
            <w:right w:w="0" w:type="dxa"/>
          </w:tblCellMar>
        </w:tblPrEx>
        <w:trPr>
          <w:trHeight w:val="408" w:hRule="atLeast"/>
        </w:trPr>
        <w:tc>
          <w:tcPr>
            <w:tcW w:w="100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1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政府对60周岁以上领取基础养老金月人均补助水平</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≥110.5元</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111.9元</w:t>
            </w:r>
          </w:p>
        </w:tc>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w:t>
            </w:r>
            <w:r>
              <w:rPr>
                <w:rStyle w:val="11"/>
                <w:lang w:val="en-US" w:eastAsia="zh-CN" w:bidi="ar"/>
              </w:rPr>
              <w:t>0分</w:t>
            </w:r>
          </w:p>
        </w:tc>
      </w:tr>
      <w:tr>
        <w:tblPrEx>
          <w:shd w:val="clear" w:color="auto" w:fill="auto"/>
          <w:tblCellMar>
            <w:top w:w="0" w:type="dxa"/>
            <w:left w:w="0" w:type="dxa"/>
            <w:bottom w:w="0" w:type="dxa"/>
            <w:right w:w="0" w:type="dxa"/>
          </w:tblCellMar>
        </w:tblPrEx>
        <w:trPr>
          <w:trHeight w:val="539" w:hRule="atLeast"/>
        </w:trPr>
        <w:tc>
          <w:tcPr>
            <w:tcW w:w="100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199"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年末预算执行率</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74%</w:t>
            </w:r>
          </w:p>
        </w:tc>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8分</w:t>
            </w:r>
          </w:p>
        </w:tc>
      </w:tr>
      <w:tr>
        <w:tblPrEx>
          <w:shd w:val="clear" w:color="auto" w:fill="auto"/>
          <w:tblCellMar>
            <w:top w:w="0" w:type="dxa"/>
            <w:left w:w="0" w:type="dxa"/>
            <w:bottom w:w="0" w:type="dxa"/>
            <w:right w:w="0" w:type="dxa"/>
          </w:tblCellMar>
        </w:tblPrEx>
        <w:trPr>
          <w:trHeight w:val="408" w:hRule="atLeast"/>
        </w:trPr>
        <w:tc>
          <w:tcPr>
            <w:tcW w:w="100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4"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效益指标（40）</w:t>
            </w:r>
          </w:p>
        </w:tc>
        <w:tc>
          <w:tcPr>
            <w:tcW w:w="8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21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促进居民收入稳步提高月人均基础养老金不低于全省平均水平</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≥110.5元</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111.9元</w:t>
            </w:r>
          </w:p>
        </w:tc>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20分</w:t>
            </w:r>
          </w:p>
        </w:tc>
      </w:tr>
      <w:tr>
        <w:tblPrEx>
          <w:shd w:val="clear" w:color="auto" w:fill="auto"/>
          <w:tblCellMar>
            <w:top w:w="0" w:type="dxa"/>
            <w:left w:w="0" w:type="dxa"/>
            <w:bottom w:w="0" w:type="dxa"/>
            <w:right w:w="0" w:type="dxa"/>
          </w:tblCellMar>
        </w:tblPrEx>
        <w:trPr>
          <w:trHeight w:val="408" w:hRule="atLeast"/>
        </w:trPr>
        <w:tc>
          <w:tcPr>
            <w:tcW w:w="100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4"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3"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1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城乡居民政策知晓率</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w:t>
            </w:r>
          </w:p>
        </w:tc>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10分</w:t>
            </w:r>
          </w:p>
        </w:tc>
      </w:tr>
      <w:tr>
        <w:tblPrEx>
          <w:shd w:val="clear" w:color="auto" w:fill="auto"/>
          <w:tblCellMar>
            <w:top w:w="0" w:type="dxa"/>
            <w:left w:w="0" w:type="dxa"/>
            <w:bottom w:w="0" w:type="dxa"/>
            <w:right w:w="0" w:type="dxa"/>
          </w:tblCellMar>
        </w:tblPrEx>
        <w:trPr>
          <w:trHeight w:val="408" w:hRule="atLeast"/>
        </w:trPr>
        <w:tc>
          <w:tcPr>
            <w:tcW w:w="100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r>
              <w:rPr>
                <w:rFonts w:hint="eastAsia" w:ascii="宋体" w:hAnsi="宋体" w:eastAsia="宋体" w:cs="宋体"/>
                <w:i w:val="0"/>
                <w:color w:val="000000"/>
                <w:kern w:val="0"/>
                <w:sz w:val="16"/>
                <w:szCs w:val="16"/>
                <w:u w:val="none"/>
                <w:lang w:val="en-US" w:eastAsia="zh-CN" w:bidi="ar"/>
              </w:rPr>
              <w:br w:type="textWrapping"/>
            </w:r>
            <w:r>
              <w:rPr>
                <w:rFonts w:hint="eastAsia" w:ascii="宋体" w:hAnsi="宋体" w:eastAsia="宋体" w:cs="宋体"/>
                <w:i w:val="0"/>
                <w:color w:val="000000"/>
                <w:kern w:val="0"/>
                <w:sz w:val="16"/>
                <w:szCs w:val="16"/>
                <w:u w:val="none"/>
                <w:lang w:val="en-US" w:eastAsia="zh-CN" w:bidi="ar"/>
              </w:rPr>
              <w:t>（10分）</w:t>
            </w:r>
          </w:p>
        </w:tc>
        <w:tc>
          <w:tcPr>
            <w:tcW w:w="893"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1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城乡参保对象满意度</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w:t>
            </w:r>
          </w:p>
        </w:tc>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9分</w:t>
            </w:r>
          </w:p>
        </w:tc>
      </w:tr>
      <w:tr>
        <w:tblPrEx>
          <w:shd w:val="clear" w:color="auto" w:fill="auto"/>
          <w:tblCellMar>
            <w:top w:w="0" w:type="dxa"/>
            <w:left w:w="0" w:type="dxa"/>
            <w:bottom w:w="0" w:type="dxa"/>
            <w:right w:w="0" w:type="dxa"/>
          </w:tblCellMar>
        </w:tblPrEx>
        <w:trPr>
          <w:trHeight w:val="408" w:hRule="atLeast"/>
        </w:trPr>
        <w:tc>
          <w:tcPr>
            <w:tcW w:w="100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774"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87分</w:t>
            </w:r>
          </w:p>
        </w:tc>
      </w:tr>
      <w:tr>
        <w:tblPrEx>
          <w:shd w:val="clear" w:color="auto" w:fill="auto"/>
          <w:tblCellMar>
            <w:top w:w="0" w:type="dxa"/>
            <w:left w:w="0" w:type="dxa"/>
            <w:bottom w:w="0" w:type="dxa"/>
            <w:right w:w="0" w:type="dxa"/>
          </w:tblCellMar>
        </w:tblPrEx>
        <w:trPr>
          <w:trHeight w:val="545" w:hRule="atLeast"/>
        </w:trPr>
        <w:tc>
          <w:tcPr>
            <w:tcW w:w="100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12"/>
                <w:rFonts w:eastAsia="宋体"/>
                <w:lang w:val="en-US" w:eastAsia="zh-CN" w:bidi="ar"/>
              </w:rPr>
              <w:t xml:space="preserve"> </w:t>
            </w:r>
            <w:r>
              <w:rPr>
                <w:rStyle w:val="11"/>
                <w:lang w:val="en-US" w:eastAsia="zh-CN" w:bidi="ar"/>
              </w:rPr>
              <w:t>存在问题、原因及下一步整改措施</w:t>
            </w:r>
          </w:p>
        </w:tc>
        <w:tc>
          <w:tcPr>
            <w:tcW w:w="7487"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存在的问题及原因：一是城居保政策对中青年城乡居民，特别对18-35岁城乡居民的参保吸引力不够；二是政策宣传发动工作有待加强。下一步改进措施：一是继续制定鼓励中青年城乡居民积极参保，长期缴费，长缴多得的激励政策，建立缴费年限与基础养老待遇之间的动态激励机制；二是继续加大城居保政策宣传力度。</w:t>
            </w:r>
          </w:p>
        </w:tc>
      </w:tr>
    </w:tbl>
    <w:p>
      <w:pPr>
        <w:keepNext w:val="0"/>
        <w:keepLines w:val="0"/>
        <w:pageBreakBefore w:val="0"/>
        <w:widowControl w:val="0"/>
        <w:kinsoku/>
        <w:wordWrap/>
        <w:overflowPunct/>
        <w:topLinePunct w:val="0"/>
        <w:autoSpaceDE/>
        <w:autoSpaceDN/>
        <w:bidi w:val="0"/>
        <w:adjustRightInd w:val="0"/>
        <w:snapToGrid w:val="0"/>
        <w:spacing w:line="240" w:lineRule="auto"/>
        <w:ind w:firstLine="320" w:firstLineChars="200"/>
        <w:textAlignment w:val="auto"/>
        <w:outlineLvl w:val="9"/>
        <w:rPr>
          <w:rFonts w:hint="eastAsia" w:ascii="宋体" w:hAnsi="宋体" w:eastAsia="宋体" w:cs="宋体"/>
          <w:b w:val="0"/>
          <w:bCs w:val="0"/>
          <w:sz w:val="16"/>
          <w:szCs w:val="16"/>
        </w:rPr>
      </w:pPr>
      <w:r>
        <w:rPr>
          <w:rFonts w:hint="eastAsia" w:ascii="宋体" w:hAnsi="宋体" w:eastAsia="宋体" w:cs="宋体"/>
          <w:b w:val="0"/>
          <w:bCs w:val="0"/>
          <w:sz w:val="16"/>
          <w:szCs w:val="16"/>
        </w:rPr>
        <w:t>填报人：张硕</w:t>
      </w:r>
      <w:r>
        <w:rPr>
          <w:rFonts w:hint="eastAsia" w:ascii="宋体" w:hAnsi="宋体" w:eastAsia="宋体" w:cs="宋体"/>
          <w:b w:val="0"/>
          <w:bCs w:val="0"/>
          <w:sz w:val="16"/>
          <w:szCs w:val="16"/>
          <w:lang w:val="en-US" w:eastAsia="zh-CN"/>
        </w:rPr>
        <w:t xml:space="preserve">                                                             </w:t>
      </w:r>
      <w:r>
        <w:rPr>
          <w:rFonts w:hint="eastAsia" w:ascii="宋体" w:hAnsi="宋体" w:eastAsia="宋体" w:cs="宋体"/>
          <w:b w:val="0"/>
          <w:bCs w:val="0"/>
          <w:sz w:val="16"/>
          <w:szCs w:val="16"/>
        </w:rPr>
        <w:t>联系电话：18931868617</w:t>
      </w:r>
    </w:p>
    <w:p>
      <w:pPr>
        <w:adjustRightInd w:val="0"/>
        <w:snapToGrid w:val="0"/>
        <w:spacing w:line="600" w:lineRule="exact"/>
        <w:ind w:firstLine="643" w:firstLineChars="200"/>
        <w:rPr>
          <w:rFonts w:hint="eastAsia" w:ascii="楷体_GB2312" w:hAnsi="楷体_GB2312" w:eastAsia="楷体_GB2312" w:cs="楷体_GB2312"/>
          <w:b/>
          <w:bCs/>
          <w:color w:val="auto"/>
          <w:sz w:val="32"/>
          <w:szCs w:val="32"/>
        </w:rPr>
      </w:pPr>
      <w:r>
        <w:rPr>
          <w:rFonts w:hint="eastAsia" w:ascii="楷体_GB2312" w:hAnsi="楷体_GB2312" w:eastAsia="楷体_GB2312" w:cs="楷体_GB2312"/>
          <w:b/>
          <w:bCs/>
          <w:color w:val="auto"/>
          <w:sz w:val="32"/>
          <w:szCs w:val="32"/>
        </w:rPr>
        <w:t>（三）财政评价项目绩效评价结果</w:t>
      </w:r>
    </w:p>
    <w:p>
      <w:pPr>
        <w:pageBreakBefore w:val="0"/>
        <w:kinsoku/>
        <w:wordWrap/>
        <w:overflowPunct/>
        <w:topLinePunct w:val="0"/>
        <w:bidi w:val="0"/>
        <w:adjustRightInd/>
        <w:snapToGrid/>
        <w:spacing w:line="240" w:lineRule="auto"/>
        <w:ind w:firstLine="640" w:firstLineChars="200"/>
        <w:textAlignment w:val="auto"/>
        <w:rPr>
          <w:rFonts w:hint="eastAsia" w:ascii="仿宋" w:hAnsi="仿宋" w:eastAsia="仿宋"/>
          <w:color w:val="00B050"/>
          <w:sz w:val="32"/>
          <w:szCs w:val="32"/>
        </w:rPr>
      </w:pPr>
      <w:r>
        <w:rPr>
          <w:rFonts w:hint="eastAsia" w:ascii="仿宋" w:hAnsi="仿宋" w:eastAsia="仿宋"/>
          <w:color w:val="auto"/>
          <w:sz w:val="32"/>
          <w:szCs w:val="32"/>
        </w:rPr>
        <w:t>本部门</w:t>
      </w:r>
      <w:r>
        <w:rPr>
          <w:rFonts w:hint="eastAsia" w:ascii="仿宋" w:hAnsi="仿宋" w:eastAsia="仿宋"/>
          <w:color w:val="auto"/>
          <w:sz w:val="32"/>
          <w:szCs w:val="32"/>
          <w:lang w:eastAsia="zh-CN"/>
        </w:rPr>
        <w:t>本年无</w:t>
      </w:r>
      <w:r>
        <w:rPr>
          <w:rFonts w:hint="eastAsia" w:ascii="仿宋" w:hAnsi="仿宋" w:eastAsia="仿宋"/>
          <w:color w:val="auto"/>
          <w:sz w:val="32"/>
          <w:szCs w:val="32"/>
        </w:rPr>
        <w:t>财政评价项目。</w:t>
      </w:r>
    </w:p>
    <w:p>
      <w:pPr>
        <w:keepNext/>
        <w:keepLines/>
        <w:snapToGrid w:val="0"/>
        <w:spacing w:line="600" w:lineRule="exact"/>
        <w:ind w:firstLine="640" w:firstLineChars="200"/>
        <w:outlineLvl w:val="1"/>
        <w:rPr>
          <w:rFonts w:ascii="黑体" w:hAnsi="黑体" w:eastAsia="黑体" w:cs="黑体"/>
          <w:b/>
          <w:bCs/>
          <w:color w:val="auto"/>
          <w:sz w:val="32"/>
          <w:szCs w:val="32"/>
        </w:rPr>
      </w:pPr>
      <w:r>
        <w:rPr>
          <w:rFonts w:hint="eastAsia" w:ascii="黑体" w:hAnsi="黑体" w:eastAsia="黑体" w:cs="黑体"/>
          <w:color w:val="auto"/>
          <w:sz w:val="32"/>
          <w:szCs w:val="32"/>
        </w:rPr>
        <w:t>七、机关运行经费情况</w:t>
      </w:r>
    </w:p>
    <w:p>
      <w:pPr>
        <w:pageBreakBefore w:val="0"/>
        <w:kinsoku/>
        <w:wordWrap/>
        <w:overflowPunct/>
        <w:topLinePunct w:val="0"/>
        <w:bidi w:val="0"/>
        <w:adjustRightInd/>
        <w:snapToGrid/>
        <w:spacing w:line="240" w:lineRule="auto"/>
        <w:ind w:firstLine="640" w:firstLineChars="200"/>
        <w:textAlignment w:val="auto"/>
        <w:rPr>
          <w:rFonts w:ascii="仿宋" w:hAnsi="仿宋" w:eastAsia="仿宋"/>
          <w:color w:val="auto"/>
          <w:sz w:val="32"/>
          <w:szCs w:val="32"/>
          <w:highlight w:val="none"/>
        </w:rPr>
      </w:pPr>
      <w:r>
        <w:rPr>
          <w:rFonts w:hint="eastAsia" w:ascii="仿宋_GB2312" w:hAnsi="仿宋_GB2312" w:eastAsia="仿宋_GB2312" w:cs="仿宋_GB2312"/>
          <w:color w:val="auto"/>
          <w:sz w:val="32"/>
          <w:szCs w:val="32"/>
        </w:rPr>
        <w:t>本部门2020年度机关运行经费支出</w:t>
      </w:r>
      <w:r>
        <w:rPr>
          <w:rFonts w:hint="eastAsia" w:ascii="仿宋_GB2312" w:hAnsi="仿宋_GB2312" w:eastAsia="仿宋_GB2312" w:cs="仿宋_GB2312"/>
          <w:color w:val="auto"/>
          <w:sz w:val="32"/>
          <w:szCs w:val="32"/>
          <w:lang w:val="en-US" w:eastAsia="zh-CN"/>
        </w:rPr>
        <w:t>57.13</w:t>
      </w:r>
      <w:r>
        <w:rPr>
          <w:rFonts w:hint="eastAsia" w:ascii="仿宋_GB2312" w:hAnsi="仿宋_GB2312" w:eastAsia="仿宋_GB2312" w:cs="仿宋_GB2312"/>
          <w:color w:val="auto"/>
          <w:sz w:val="32"/>
          <w:szCs w:val="32"/>
        </w:rPr>
        <w:t>万元，比2019年度减少</w:t>
      </w:r>
      <w:r>
        <w:rPr>
          <w:rFonts w:hint="eastAsia" w:ascii="仿宋_GB2312" w:hAnsi="仿宋_GB2312" w:eastAsia="仿宋_GB2312" w:cs="仿宋_GB2312"/>
          <w:color w:val="auto"/>
          <w:sz w:val="32"/>
          <w:szCs w:val="32"/>
          <w:lang w:val="en-US" w:eastAsia="zh-CN"/>
        </w:rPr>
        <w:t>13.03</w:t>
      </w:r>
      <w:r>
        <w:rPr>
          <w:rFonts w:hint="eastAsia" w:ascii="仿宋_GB2312" w:hAnsi="仿宋_GB2312" w:eastAsia="仿宋_GB2312" w:cs="仿宋_GB2312"/>
          <w:color w:val="auto"/>
          <w:sz w:val="32"/>
          <w:szCs w:val="32"/>
        </w:rPr>
        <w:t>万元，降低</w:t>
      </w:r>
      <w:r>
        <w:rPr>
          <w:rFonts w:hint="eastAsia" w:ascii="仿宋_GB2312" w:hAnsi="仿宋_GB2312" w:eastAsia="仿宋_GB2312" w:cs="仿宋_GB2312"/>
          <w:color w:val="auto"/>
          <w:sz w:val="32"/>
          <w:szCs w:val="32"/>
          <w:lang w:val="en-US" w:eastAsia="zh-CN"/>
        </w:rPr>
        <w:t>18.57</w:t>
      </w:r>
      <w:r>
        <w:rPr>
          <w:rFonts w:hint="eastAsia" w:ascii="仿宋_GB2312" w:hAnsi="仿宋_GB2312" w:eastAsia="仿宋_GB2312" w:cs="仿宋_GB2312"/>
          <w:color w:val="auto"/>
          <w:sz w:val="32"/>
          <w:szCs w:val="32"/>
        </w:rPr>
        <w:t>%。主要原因是</w:t>
      </w:r>
      <w:r>
        <w:rPr>
          <w:rFonts w:hint="eastAsia" w:ascii="仿宋" w:hAnsi="仿宋" w:eastAsia="仿宋" w:cs="仿宋"/>
          <w:color w:val="auto"/>
          <w:kern w:val="0"/>
          <w:sz w:val="32"/>
          <w:szCs w:val="32"/>
          <w:lang w:eastAsia="zh-CN"/>
        </w:rPr>
        <w:t>压减了部分业务支出。</w:t>
      </w:r>
    </w:p>
    <w:p>
      <w:pPr>
        <w:keepNext/>
        <w:keepLines/>
        <w:snapToGrid w:val="0"/>
        <w:spacing w:line="600" w:lineRule="exact"/>
        <w:ind w:firstLine="640" w:firstLineChars="200"/>
        <w:outlineLvl w:val="2"/>
        <w:rPr>
          <w:rFonts w:ascii="黑体" w:hAnsi="黑体" w:eastAsia="黑体" w:cs="黑体"/>
          <w:color w:val="auto"/>
          <w:sz w:val="32"/>
          <w:szCs w:val="32"/>
        </w:rPr>
      </w:pPr>
      <w:r>
        <w:rPr>
          <w:rFonts w:hint="eastAsia" w:ascii="黑体" w:hAnsi="黑体" w:eastAsia="黑体" w:cs="黑体"/>
          <w:color w:val="auto"/>
          <w:sz w:val="32"/>
          <w:szCs w:val="32"/>
        </w:rPr>
        <w:t>八、政府采购情况</w:t>
      </w:r>
    </w:p>
    <w:p>
      <w:pPr>
        <w:snapToGrid w:val="0"/>
        <w:spacing w:line="600" w:lineRule="exact"/>
        <w:ind w:firstLine="640" w:firstLineChars="200"/>
        <w:jc w:val="left"/>
        <w:rPr>
          <w:rFonts w:ascii="仿宋_GB2312" w:hAnsi="仿宋_GB2312" w:eastAsia="仿宋_GB2312" w:cs="仿宋_GB2312"/>
          <w:color w:val="auto"/>
          <w:sz w:val="32"/>
          <w:szCs w:val="32"/>
          <w:highlight w:val="yellow"/>
        </w:rPr>
      </w:pPr>
      <w:r>
        <w:rPr>
          <w:rFonts w:hint="eastAsia" w:ascii="仿宋_GB2312" w:hAnsi="仿宋_GB2312" w:eastAsia="仿宋_GB2312" w:cs="仿宋_GB2312"/>
          <w:color w:val="auto"/>
          <w:sz w:val="32"/>
          <w:szCs w:val="32"/>
        </w:rPr>
        <w:t>本部门2020年度政府采购支出总额</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万元，从采购类型来看，</w:t>
      </w:r>
      <w:r>
        <w:rPr>
          <w:rFonts w:hint="eastAsia" w:ascii="仿宋_GB2312" w:hAnsi="仿宋_GB2312" w:eastAsia="仿宋_GB2312" w:cs="仿宋_GB2312"/>
          <w:color w:val="auto"/>
          <w:kern w:val="0"/>
          <w:sz w:val="32"/>
          <w:szCs w:val="32"/>
          <w:lang w:bidi="ar"/>
        </w:rPr>
        <w:t>政府采购货物支出</w:t>
      </w:r>
      <w:r>
        <w:rPr>
          <w:rFonts w:hint="eastAsia" w:ascii="仿宋_GB2312" w:hAnsi="仿宋_GB2312" w:eastAsia="仿宋_GB2312" w:cs="仿宋_GB2312"/>
          <w:color w:val="auto"/>
          <w:kern w:val="0"/>
          <w:sz w:val="32"/>
          <w:szCs w:val="32"/>
          <w:lang w:val="en-US" w:eastAsia="zh-CN" w:bidi="ar"/>
        </w:rPr>
        <w:t>0</w:t>
      </w:r>
      <w:r>
        <w:rPr>
          <w:rFonts w:hint="eastAsia" w:ascii="仿宋_GB2312" w:hAnsi="仿宋_GB2312" w:eastAsia="仿宋_GB2312" w:cs="仿宋_GB2312"/>
          <w:color w:val="auto"/>
          <w:kern w:val="0"/>
          <w:sz w:val="32"/>
          <w:szCs w:val="32"/>
          <w:lang w:bidi="ar"/>
        </w:rPr>
        <w:t xml:space="preserve"> 万元、政府采购工程支出</w:t>
      </w:r>
      <w:r>
        <w:rPr>
          <w:rFonts w:hint="eastAsia" w:ascii="仿宋_GB2312" w:hAnsi="仿宋_GB2312" w:eastAsia="仿宋_GB2312" w:cs="仿宋_GB2312"/>
          <w:color w:val="auto"/>
          <w:kern w:val="0"/>
          <w:sz w:val="32"/>
          <w:szCs w:val="32"/>
          <w:lang w:val="en-US" w:eastAsia="zh-CN" w:bidi="ar"/>
        </w:rPr>
        <w:t>0</w:t>
      </w:r>
      <w:r>
        <w:rPr>
          <w:rFonts w:hint="eastAsia" w:ascii="仿宋_GB2312" w:hAnsi="仿宋_GB2312" w:eastAsia="仿宋_GB2312" w:cs="仿宋_GB2312"/>
          <w:color w:val="auto"/>
          <w:kern w:val="0"/>
          <w:sz w:val="32"/>
          <w:szCs w:val="32"/>
          <w:lang w:bidi="ar"/>
        </w:rPr>
        <w:t>万元、政府采购服务支出</w:t>
      </w:r>
      <w:r>
        <w:rPr>
          <w:rFonts w:hint="eastAsia" w:ascii="仿宋_GB2312" w:hAnsi="仿宋_GB2312" w:eastAsia="仿宋_GB2312" w:cs="仿宋_GB2312"/>
          <w:color w:val="auto"/>
          <w:kern w:val="0"/>
          <w:sz w:val="32"/>
          <w:szCs w:val="32"/>
          <w:lang w:val="en-US" w:eastAsia="zh-CN" w:bidi="ar"/>
        </w:rPr>
        <w:t>0</w:t>
      </w:r>
      <w:r>
        <w:rPr>
          <w:rFonts w:hint="eastAsia" w:ascii="仿宋_GB2312" w:hAnsi="仿宋_GB2312" w:eastAsia="仿宋_GB2312" w:cs="仿宋_GB2312"/>
          <w:color w:val="auto"/>
          <w:kern w:val="0"/>
          <w:sz w:val="32"/>
          <w:szCs w:val="32"/>
          <w:lang w:bidi="ar"/>
        </w:rPr>
        <w:t>万元。授予中小企业合同金</w:t>
      </w:r>
      <w:r>
        <w:rPr>
          <w:rFonts w:hint="eastAsia" w:ascii="仿宋_GB2312" w:hAnsi="仿宋_GB2312" w:eastAsia="仿宋_GB2312" w:cs="仿宋_GB2312"/>
          <w:color w:val="auto"/>
          <w:kern w:val="0"/>
          <w:sz w:val="32"/>
          <w:szCs w:val="32"/>
          <w:lang w:val="en-US" w:eastAsia="zh-CN" w:bidi="ar"/>
        </w:rPr>
        <w:t>0</w:t>
      </w:r>
      <w:r>
        <w:rPr>
          <w:rFonts w:hint="eastAsia" w:ascii="仿宋_GB2312" w:hAnsi="仿宋_GB2312" w:eastAsia="仿宋_GB2312" w:cs="仿宋_GB2312"/>
          <w:color w:val="auto"/>
          <w:kern w:val="0"/>
          <w:sz w:val="32"/>
          <w:szCs w:val="32"/>
          <w:lang w:bidi="ar"/>
        </w:rPr>
        <w:t>万元，占政府采购支出总额的</w:t>
      </w:r>
      <w:r>
        <w:rPr>
          <w:rFonts w:hint="eastAsia" w:ascii="仿宋_GB2312" w:hAnsi="仿宋_GB2312" w:eastAsia="仿宋_GB2312" w:cs="仿宋_GB2312"/>
          <w:color w:val="auto"/>
          <w:kern w:val="0"/>
          <w:sz w:val="32"/>
          <w:szCs w:val="32"/>
          <w:lang w:val="en-US" w:eastAsia="zh-CN" w:bidi="ar"/>
        </w:rPr>
        <w:t>0</w:t>
      </w:r>
      <w:r>
        <w:rPr>
          <w:rFonts w:hint="eastAsia" w:ascii="仿宋_GB2312" w:hAnsi="仿宋_GB2312" w:eastAsia="仿宋_GB2312" w:cs="仿宋_GB2312"/>
          <w:color w:val="auto"/>
          <w:kern w:val="0"/>
          <w:sz w:val="32"/>
          <w:szCs w:val="32"/>
          <w:lang w:bidi="ar"/>
        </w:rPr>
        <w:t>%，其中授予小微企业合同金额</w:t>
      </w:r>
      <w:r>
        <w:rPr>
          <w:rFonts w:hint="eastAsia" w:ascii="仿宋_GB2312" w:hAnsi="仿宋_GB2312" w:eastAsia="仿宋_GB2312" w:cs="仿宋_GB2312"/>
          <w:color w:val="auto"/>
          <w:kern w:val="0"/>
          <w:sz w:val="32"/>
          <w:szCs w:val="32"/>
          <w:lang w:val="en-US" w:eastAsia="zh-CN" w:bidi="ar"/>
        </w:rPr>
        <w:t>0</w:t>
      </w:r>
      <w:r>
        <w:rPr>
          <w:rFonts w:hint="eastAsia" w:ascii="仿宋_GB2312" w:hAnsi="仿宋_GB2312" w:eastAsia="仿宋_GB2312" w:cs="仿宋_GB2312"/>
          <w:color w:val="auto"/>
          <w:kern w:val="0"/>
          <w:sz w:val="32"/>
          <w:szCs w:val="32"/>
          <w:lang w:bidi="ar"/>
        </w:rPr>
        <w:t>万元，占政府采购支出总额的</w:t>
      </w:r>
      <w:r>
        <w:rPr>
          <w:rFonts w:hint="eastAsia" w:ascii="仿宋_GB2312" w:hAnsi="仿宋_GB2312" w:eastAsia="仿宋_GB2312" w:cs="仿宋_GB2312"/>
          <w:color w:val="auto"/>
          <w:kern w:val="0"/>
          <w:sz w:val="32"/>
          <w:szCs w:val="32"/>
          <w:lang w:val="en-US" w:eastAsia="zh-CN" w:bidi="ar"/>
        </w:rPr>
        <w:t>0</w:t>
      </w:r>
      <w:r>
        <w:rPr>
          <w:rFonts w:hint="eastAsia" w:ascii="仿宋_GB2312" w:hAnsi="仿宋_GB2312" w:eastAsia="仿宋_GB2312" w:cs="仿宋_GB2312"/>
          <w:color w:val="auto"/>
          <w:kern w:val="0"/>
          <w:sz w:val="32"/>
          <w:szCs w:val="32"/>
          <w:lang w:bidi="ar"/>
        </w:rPr>
        <w:t>%。</w:t>
      </w:r>
    </w:p>
    <w:p>
      <w:pPr>
        <w:keepNext/>
        <w:keepLines/>
        <w:snapToGrid w:val="0"/>
        <w:spacing w:line="600" w:lineRule="exact"/>
        <w:ind w:firstLine="640" w:firstLineChars="200"/>
        <w:outlineLvl w:val="2"/>
        <w:rPr>
          <w:rFonts w:ascii="黑体" w:hAnsi="黑体" w:eastAsia="黑体" w:cs="黑体"/>
          <w:color w:val="auto"/>
          <w:sz w:val="32"/>
          <w:szCs w:val="32"/>
        </w:rPr>
      </w:pPr>
      <w:r>
        <w:rPr>
          <w:rFonts w:hint="eastAsia" w:ascii="黑体" w:hAnsi="黑体" w:eastAsia="黑体" w:cs="黑体"/>
          <w:color w:val="auto"/>
          <w:sz w:val="32"/>
          <w:szCs w:val="32"/>
        </w:rPr>
        <w:t>九、国有资产占用情况</w:t>
      </w:r>
    </w:p>
    <w:p>
      <w:pPr>
        <w:adjustRightInd w:val="0"/>
        <w:snapToGrid w:val="0"/>
        <w:spacing w:line="60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截至2020年12月31日，本部门共有车辆</w:t>
      </w:r>
      <w:r>
        <w:rPr>
          <w:rFonts w:hint="eastAsia" w:ascii="仿宋_GB2312" w:hAnsi="仿宋_GB2312" w:eastAsia="仿宋_GB2312" w:cs="仿宋_GB2312"/>
          <w:color w:val="auto"/>
          <w:sz w:val="32"/>
          <w:szCs w:val="32"/>
          <w:lang w:val="en-US" w:eastAsia="zh-CN"/>
        </w:rPr>
        <w:t>5</w:t>
      </w:r>
      <w:r>
        <w:rPr>
          <w:rFonts w:hint="eastAsia" w:ascii="仿宋_GB2312" w:hAnsi="仿宋_GB2312" w:eastAsia="仿宋_GB2312" w:cs="仿宋_GB2312"/>
          <w:color w:val="auto"/>
          <w:sz w:val="32"/>
          <w:szCs w:val="32"/>
        </w:rPr>
        <w:t>辆，</w:t>
      </w:r>
      <w:r>
        <w:rPr>
          <w:rFonts w:hint="eastAsia" w:ascii="仿宋_GB2312" w:hAnsi="Times New Roman" w:eastAsia="仿宋_GB2312" w:cs="DengXian-Regular"/>
          <w:color w:val="auto"/>
          <w:sz w:val="32"/>
          <w:szCs w:val="32"/>
          <w:lang w:eastAsia="zh-CN"/>
        </w:rPr>
        <w:t>与</w:t>
      </w:r>
      <w:r>
        <w:rPr>
          <w:rFonts w:hint="eastAsia" w:ascii="仿宋_GB2312" w:hAnsi="Times New Roman" w:eastAsia="仿宋_GB2312" w:cs="DengXian-Regular"/>
          <w:color w:val="auto"/>
          <w:sz w:val="32"/>
          <w:szCs w:val="32"/>
        </w:rPr>
        <w:t>上年</w:t>
      </w:r>
      <w:r>
        <w:rPr>
          <w:rFonts w:hint="eastAsia" w:ascii="仿宋_GB2312" w:hAnsi="Times New Roman" w:eastAsia="仿宋_GB2312" w:cs="DengXian-Regular"/>
          <w:color w:val="auto"/>
          <w:sz w:val="32"/>
          <w:szCs w:val="32"/>
          <w:highlight w:val="none"/>
        </w:rPr>
        <w:t>持</w:t>
      </w:r>
      <w:r>
        <w:rPr>
          <w:rFonts w:hint="eastAsia" w:ascii="仿宋_GB2312" w:hAnsi="Times New Roman" w:eastAsia="仿宋_GB2312" w:cs="DengXian-Regular"/>
          <w:color w:val="auto"/>
          <w:sz w:val="32"/>
          <w:szCs w:val="32"/>
        </w:rPr>
        <w:t>平</w:t>
      </w:r>
      <w:r>
        <w:rPr>
          <w:rFonts w:hint="eastAsia" w:ascii="仿宋_GB2312" w:hAnsi="Times New Roman" w:eastAsia="仿宋_GB2312" w:cs="DengXian-Regular"/>
          <w:color w:val="auto"/>
          <w:sz w:val="32"/>
          <w:szCs w:val="32"/>
          <w:lang w:eastAsia="zh-CN"/>
        </w:rPr>
        <w:t>，</w:t>
      </w:r>
      <w:r>
        <w:rPr>
          <w:rFonts w:hint="eastAsia" w:ascii="仿宋_GB2312" w:hAnsi="Times New Roman" w:eastAsia="仿宋_GB2312" w:cs="DengXian-Regular"/>
          <w:color w:val="auto"/>
          <w:sz w:val="32"/>
          <w:szCs w:val="32"/>
        </w:rPr>
        <w:t>无增减变化</w:t>
      </w:r>
      <w:r>
        <w:rPr>
          <w:rFonts w:hint="eastAsia" w:ascii="仿宋_GB2312" w:hAnsi="Times New Roman" w:eastAsia="仿宋_GB2312" w:cs="DengXian-Regular"/>
          <w:color w:val="auto"/>
          <w:sz w:val="32"/>
          <w:szCs w:val="32"/>
          <w:lang w:eastAsia="zh-CN"/>
        </w:rPr>
        <w:t>，</w:t>
      </w:r>
      <w:r>
        <w:rPr>
          <w:rFonts w:hint="eastAsia" w:ascii="仿宋" w:hAnsi="仿宋" w:eastAsia="仿宋" w:cs="仿宋"/>
          <w:color w:val="auto"/>
          <w:kern w:val="0"/>
          <w:sz w:val="32"/>
          <w:szCs w:val="32"/>
        </w:rPr>
        <w:t>主要是加强公务用车管理，</w:t>
      </w:r>
      <w:r>
        <w:rPr>
          <w:rFonts w:hint="eastAsia" w:ascii="仿宋" w:hAnsi="仿宋" w:eastAsia="仿宋" w:cs="仿宋"/>
          <w:color w:val="auto"/>
          <w:kern w:val="0"/>
          <w:sz w:val="32"/>
          <w:szCs w:val="32"/>
          <w:lang w:eastAsia="zh-CN"/>
        </w:rPr>
        <w:t>无新购置</w:t>
      </w:r>
      <w:r>
        <w:rPr>
          <w:rFonts w:hint="eastAsia" w:ascii="仿宋" w:hAnsi="仿宋" w:eastAsia="仿宋" w:cs="仿宋"/>
          <w:color w:val="auto"/>
          <w:kern w:val="0"/>
          <w:sz w:val="32"/>
          <w:szCs w:val="32"/>
        </w:rPr>
        <w:t>公务用车</w:t>
      </w:r>
      <w:r>
        <w:rPr>
          <w:rFonts w:hint="eastAsia" w:ascii="仿宋_GB2312" w:hAnsi="Times New Roman" w:eastAsia="仿宋_GB2312" w:cs="DengXian-Regular"/>
          <w:color w:val="auto"/>
          <w:sz w:val="32"/>
          <w:szCs w:val="32"/>
          <w:lang w:eastAsia="zh-CN"/>
        </w:rPr>
        <w:t>。</w:t>
      </w:r>
      <w:r>
        <w:rPr>
          <w:rFonts w:hint="eastAsia" w:ascii="仿宋_GB2312" w:hAnsi="仿宋_GB2312" w:eastAsia="仿宋_GB2312" w:cs="仿宋_GB2312"/>
          <w:color w:val="auto"/>
          <w:sz w:val="32"/>
          <w:szCs w:val="32"/>
        </w:rPr>
        <w:t>其中，副部（省）级及以上领导用车</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辆，主要领导干部用车</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辆，机要通信用车</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辆，应急保障用车</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辆，执法执勤用车</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辆，特种专业技术用车</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辆，离退休干部用车</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辆，其他用车</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辆，其他用车主要是</w:t>
      </w:r>
      <w:r>
        <w:rPr>
          <w:rFonts w:hint="eastAsia" w:ascii="仿宋_GB2312" w:hAnsi="Times New Roman" w:eastAsia="仿宋_GB2312" w:cs="DengXian-Regular"/>
          <w:color w:val="auto"/>
          <w:sz w:val="32"/>
          <w:szCs w:val="32"/>
          <w:lang w:eastAsia="zh-CN"/>
        </w:rPr>
        <w:t>日常公务用车。</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 w:hAnsi="仿宋" w:eastAsia="仿宋" w:cs="仿宋"/>
          <w:color w:val="auto"/>
          <w:kern w:val="0"/>
          <w:sz w:val="32"/>
          <w:szCs w:val="32"/>
        </w:rPr>
      </w:pPr>
      <w:r>
        <w:rPr>
          <w:rFonts w:hint="eastAsia" w:ascii="仿宋_GB2312" w:hAnsi="仿宋_GB2312" w:eastAsia="仿宋_GB2312" w:cs="仿宋_GB2312"/>
          <w:color w:val="auto"/>
          <w:sz w:val="32"/>
          <w:szCs w:val="32"/>
        </w:rPr>
        <w:t>单位价值50万元以上通用设备</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台（套），</w:t>
      </w:r>
      <w:r>
        <w:rPr>
          <w:rFonts w:hint="eastAsia" w:ascii="仿宋" w:hAnsi="仿宋" w:eastAsia="仿宋" w:cs="仿宋"/>
          <w:color w:val="auto"/>
          <w:kern w:val="0"/>
          <w:sz w:val="32"/>
          <w:szCs w:val="32"/>
        </w:rPr>
        <w:t>与上年持平，无增减变化</w:t>
      </w:r>
      <w:r>
        <w:rPr>
          <w:rFonts w:hint="eastAsia" w:ascii="仿宋" w:hAnsi="仿宋" w:eastAsia="仿宋" w:cs="仿宋"/>
          <w:color w:val="auto"/>
          <w:kern w:val="0"/>
          <w:sz w:val="32"/>
          <w:szCs w:val="32"/>
          <w:lang w:eastAsia="zh-CN"/>
        </w:rPr>
        <w:t>，</w:t>
      </w:r>
      <w:r>
        <w:rPr>
          <w:rFonts w:hint="eastAsia" w:ascii="仿宋_GB2312" w:eastAsia="仿宋_GB2312" w:cs="DengXian-Regular"/>
          <w:color w:val="auto"/>
          <w:sz w:val="32"/>
          <w:szCs w:val="32"/>
        </w:rPr>
        <w:t>主要是</w:t>
      </w:r>
      <w:r>
        <w:rPr>
          <w:rFonts w:hint="eastAsia" w:ascii="仿宋_GB2312" w:eastAsia="仿宋_GB2312" w:cs="DengXian-Regular"/>
          <w:color w:val="auto"/>
          <w:sz w:val="32"/>
          <w:szCs w:val="32"/>
          <w:lang w:val="en-US" w:eastAsia="zh-CN"/>
        </w:rPr>
        <w:t>本单位无此类国有资产</w:t>
      </w:r>
      <w:r>
        <w:rPr>
          <w:rFonts w:hint="eastAsia" w:ascii="仿宋" w:hAnsi="仿宋" w:eastAsia="仿宋" w:cs="仿宋"/>
          <w:color w:val="auto"/>
          <w:kern w:val="0"/>
          <w:sz w:val="32"/>
          <w:szCs w:val="32"/>
        </w:rPr>
        <w:t>；</w:t>
      </w:r>
      <w:r>
        <w:rPr>
          <w:rFonts w:hint="eastAsia" w:ascii="仿宋_GB2312" w:hAnsi="仿宋_GB2312" w:eastAsia="仿宋_GB2312" w:cs="仿宋_GB2312"/>
          <w:color w:val="auto"/>
          <w:sz w:val="32"/>
          <w:szCs w:val="32"/>
        </w:rPr>
        <w:t>单位价值100万元以上专用设备</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台（套）</w:t>
      </w:r>
      <w:r>
        <w:rPr>
          <w:rFonts w:hint="eastAsia" w:ascii="仿宋_GB2312" w:hAnsi="仿宋_GB2312" w:eastAsia="仿宋_GB2312" w:cs="仿宋_GB2312"/>
          <w:color w:val="auto"/>
          <w:sz w:val="32"/>
          <w:szCs w:val="32"/>
          <w:lang w:eastAsia="zh-CN"/>
        </w:rPr>
        <w:t>，</w:t>
      </w:r>
      <w:r>
        <w:rPr>
          <w:rFonts w:hint="eastAsia" w:ascii="仿宋" w:hAnsi="仿宋" w:eastAsia="仿宋" w:cs="仿宋"/>
          <w:color w:val="auto"/>
          <w:kern w:val="0"/>
          <w:sz w:val="32"/>
          <w:szCs w:val="32"/>
        </w:rPr>
        <w:t>与上年持平，无增减变化</w:t>
      </w:r>
      <w:r>
        <w:rPr>
          <w:rFonts w:hint="eastAsia" w:ascii="仿宋" w:hAnsi="仿宋" w:eastAsia="仿宋" w:cs="仿宋"/>
          <w:color w:val="auto"/>
          <w:kern w:val="0"/>
          <w:sz w:val="32"/>
          <w:szCs w:val="32"/>
          <w:lang w:eastAsia="zh-CN"/>
        </w:rPr>
        <w:t>，</w:t>
      </w:r>
      <w:r>
        <w:rPr>
          <w:rFonts w:hint="eastAsia" w:ascii="仿宋_GB2312" w:eastAsia="仿宋_GB2312" w:cs="DengXian-Regular"/>
          <w:color w:val="auto"/>
          <w:sz w:val="32"/>
          <w:szCs w:val="32"/>
        </w:rPr>
        <w:t>主要是</w:t>
      </w:r>
      <w:r>
        <w:rPr>
          <w:rFonts w:hint="eastAsia" w:ascii="仿宋_GB2312" w:eastAsia="仿宋_GB2312" w:cs="DengXian-Regular"/>
          <w:color w:val="auto"/>
          <w:sz w:val="32"/>
          <w:szCs w:val="32"/>
          <w:lang w:val="en-US" w:eastAsia="zh-CN"/>
        </w:rPr>
        <w:t>本单位无此类国有资产。</w:t>
      </w:r>
    </w:p>
    <w:p>
      <w:pPr>
        <w:keepNext/>
        <w:keepLines/>
        <w:snapToGrid w:val="0"/>
        <w:spacing w:line="600" w:lineRule="exact"/>
        <w:ind w:firstLine="640" w:firstLineChars="200"/>
        <w:outlineLvl w:val="2"/>
        <w:rPr>
          <w:rFonts w:ascii="黑体" w:hAnsi="黑体" w:eastAsia="黑体" w:cs="黑体"/>
          <w:color w:val="auto"/>
          <w:sz w:val="32"/>
          <w:szCs w:val="32"/>
        </w:rPr>
      </w:pPr>
      <w:r>
        <w:rPr>
          <w:rFonts w:hint="eastAsia" w:ascii="黑体" w:hAnsi="黑体" w:eastAsia="黑体" w:cs="黑体"/>
          <w:color w:val="auto"/>
          <w:sz w:val="32"/>
          <w:szCs w:val="32"/>
        </w:rPr>
        <w:t>十、其他需要说明的情况</w:t>
      </w:r>
    </w:p>
    <w:p>
      <w:pPr>
        <w:adjustRightInd w:val="0"/>
        <w:snapToGrid w:val="0"/>
        <w:spacing w:line="60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 本部门2020年度未发生</w:t>
      </w:r>
      <w:r>
        <w:rPr>
          <w:rFonts w:hint="eastAsia" w:ascii="仿宋" w:hAnsi="仿宋" w:eastAsia="仿宋" w:cs="仿宋"/>
          <w:color w:val="auto"/>
          <w:kern w:val="0"/>
          <w:sz w:val="32"/>
          <w:szCs w:val="32"/>
        </w:rPr>
        <w:t>国有资本经营预算财政拨款</w:t>
      </w:r>
      <w:r>
        <w:rPr>
          <w:rFonts w:hint="eastAsia" w:ascii="仿宋_GB2312" w:hAnsi="仿宋_GB2312" w:eastAsia="仿宋_GB2312" w:cs="仿宋_GB2312"/>
          <w:color w:val="auto"/>
          <w:sz w:val="32"/>
          <w:szCs w:val="32"/>
          <w:lang w:eastAsia="zh-CN"/>
        </w:rPr>
        <w:t>支出</w:t>
      </w:r>
      <w:r>
        <w:rPr>
          <w:rFonts w:hint="eastAsia" w:ascii="仿宋_GB2312" w:hAnsi="仿宋_GB2312" w:eastAsia="仿宋_GB2312" w:cs="仿宋_GB2312"/>
          <w:color w:val="auto"/>
          <w:sz w:val="32"/>
          <w:szCs w:val="32"/>
        </w:rPr>
        <w:t>及结转结余情况，故</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rPr>
        <w:t>国有资本经营预算财政拨款支出决算表</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rPr>
        <w:t>以空表列示。</w:t>
      </w:r>
    </w:p>
    <w:p>
      <w:pPr>
        <w:adjustRightInd w:val="0"/>
        <w:snapToGrid w:val="0"/>
        <w:spacing w:line="60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 由于决算公开表格中金额数值应当保留两位小数，公开数据为四舍五入计算结果，个别数据合计项与分项之和存在小数点后差额，特此说明。</w:t>
      </w:r>
    </w:p>
    <w:p>
      <w:pPr>
        <w:rPr>
          <w:rFonts w:ascii="仿宋_GB2312" w:hAnsi="宋体" w:eastAsia="仿宋_GB2312" w:cs="Arial Black"/>
          <w:sz w:val="32"/>
          <w:szCs w:val="32"/>
        </w:rPr>
      </w:pPr>
      <w:r>
        <w:rPr>
          <w:rFonts w:ascii="仿宋_GB2312" w:hAnsi="宋体" w:eastAsia="仿宋_GB2312" w:cs="Arial Black"/>
          <w:sz w:val="32"/>
          <w:szCs w:val="32"/>
        </w:rPr>
        <w:br w:type="page"/>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1312" behindDoc="0" locked="0" layoutInCell="1" allowOverlap="1">
                <wp:simplePos x="0" y="0"/>
                <wp:positionH relativeFrom="column">
                  <wp:posOffset>-1040130</wp:posOffset>
                </wp:positionH>
                <wp:positionV relativeFrom="paragraph">
                  <wp:posOffset>26035</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1.9pt;margin-top:2.05pt;height:263.1pt;width:613.65pt;z-index:251661312;v-text-anchor:middle;mso-width-relative:page;mso-height-relative:page;" fillcolor="#7F7F7F [1612]" filled="t" stroked="t" coordsize="21600,21600" o:gfxdata="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CXbtHtgAAAALAQAADwAA&#10;AAAAAAABACAAAAAiAAAAZHJzL2Rvd25yZXYueG1sUEsBAhQAFAAAAAgAh07iQMGdnwmIAgAATAUA&#10;AA4AAAAAAAAAAQAgAAAAJwEAAGRycy9lMm9Eb2MueG1sUEsFBgAAAAAGAAYAWQEAACEGAAAAAA==&#10;">
                <v:fill type="pattern" on="t" color2="#FFFFFF [3212]" o:title="5%" focussize="0,0" r:id="rId11"/>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widowControl/>
        <w:spacing w:after="160" w:line="580" w:lineRule="exact"/>
        <w:rPr>
          <w:rFonts w:ascii="Times New Roman" w:hAnsi="Times New Roman" w:eastAsia="黑体" w:cs="Times New Roman"/>
          <w:sz w:val="32"/>
          <w:szCs w:val="32"/>
        </w:rPr>
      </w:pPr>
    </w:p>
    <w:p>
      <w:pPr>
        <w:widowControl/>
        <w:spacing w:after="160" w:line="580" w:lineRule="exact"/>
        <w:rPr>
          <w:rFonts w:ascii="Times New Roman" w:hAnsi="Times New Roman" w:eastAsia="黑体" w:cs="Times New Roman"/>
          <w:sz w:val="32"/>
          <w:szCs w:val="32"/>
        </w:rPr>
      </w:pPr>
    </w:p>
    <w:p>
      <w:pPr>
        <w:widowControl/>
        <w:spacing w:after="160" w:line="580" w:lineRule="exact"/>
        <w:rPr>
          <w:rFonts w:ascii="Times New Roman" w:hAnsi="Times New Roman" w:eastAsia="黑体" w:cs="Times New Roman"/>
          <w:sz w:val="32"/>
          <w:szCs w:val="32"/>
        </w:rPr>
      </w:pPr>
    </w:p>
    <w:p>
      <w:pPr>
        <w:widowControl/>
        <w:spacing w:after="160" w:line="580" w:lineRule="exact"/>
        <w:rPr>
          <w:rFonts w:ascii="Times New Roman" w:hAnsi="Times New Roman" w:eastAsia="黑体" w:cs="Times New Roman"/>
          <w:sz w:val="32"/>
          <w:szCs w:val="32"/>
        </w:rPr>
        <w:sectPr>
          <w:headerReference r:id="rId8" w:type="default"/>
          <w:pgSz w:w="11906" w:h="16838"/>
          <w:pgMar w:top="2098" w:right="1531" w:bottom="1984" w:left="1531" w:header="851" w:footer="992" w:gutter="0"/>
          <w:pgNumType w:fmt="numberInDash"/>
          <w:cols w:space="0" w:num="1"/>
          <w:titlePg/>
          <w:docGrid w:type="lines" w:linePitch="312" w:charSpace="0"/>
        </w:sectPr>
      </w:pPr>
    </w:p>
    <w:p>
      <w:pPr>
        <w:rPr>
          <w:rFonts w:ascii="黑体" w:hAnsi="黑体" w:eastAsia="黑体" w:cs="黑体"/>
          <w:sz w:val="56"/>
          <w:szCs w:val="72"/>
        </w:rPr>
        <w:sectPr>
          <w:type w:val="continuous"/>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6432"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6432;v-text-anchor:middle;mso-width-relative:page;mso-height-relative:page;" fillcolor="#7F7F7F" filled="t" stroked="t" coordsize="21600,21600" o:gfxdata="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">
                <v:fill type="pattern" on="t" color2="#FFFFFF" o:title="5%" focussize="0,0" r:id="rId11"/>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v:textbox>
              </v:shape>
            </w:pict>
          </mc:Fallback>
        </mc:AlternateConten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本部门应公开</w:t>
      </w:r>
      <w:r>
        <w:rPr>
          <w:rFonts w:hint="eastAsia" w:ascii="仿宋" w:hAnsi="仿宋" w:eastAsia="仿宋"/>
          <w:sz w:val="32"/>
          <w:szCs w:val="32"/>
          <w:highlight w:val="none"/>
          <w:lang w:val="en-US" w:eastAsia="zh-CN"/>
        </w:rPr>
        <w:t>9</w:t>
      </w:r>
      <w:r>
        <w:rPr>
          <w:rFonts w:hint="eastAsia" w:ascii="仿宋" w:hAnsi="仿宋" w:eastAsia="仿宋"/>
          <w:sz w:val="32"/>
          <w:szCs w:val="32"/>
          <w:highlight w:val="none"/>
        </w:rPr>
        <w:t>张决算表格，即：</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一、收入支出决算总表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01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二、收入决算表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02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三、支出决算表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03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四、财政拨款收入支出决算总表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04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五、</w:t>
      </w:r>
      <w:r>
        <w:rPr>
          <w:rFonts w:eastAsia="仿宋_GB2312"/>
          <w:sz w:val="32"/>
          <w:szCs w:val="32"/>
        </w:rPr>
        <w:t>一般公共预算财政拨款支出决算表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05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六、</w:t>
      </w:r>
      <w:r>
        <w:rPr>
          <w:rFonts w:eastAsia="仿宋_GB2312"/>
          <w:sz w:val="32"/>
          <w:szCs w:val="32"/>
        </w:rPr>
        <w:t>一般公共预算财政拨款基本支出决算表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06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07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darkCyan"/>
        </w:rPr>
      </w:pPr>
      <w:r>
        <w:rPr>
          <w:rFonts w:hint="eastAsia" w:ascii="仿宋" w:hAnsi="仿宋" w:eastAsia="仿宋"/>
          <w:sz w:val="32"/>
          <w:szCs w:val="32"/>
          <w:highlight w:val="none"/>
        </w:rPr>
        <w:t>八、</w:t>
      </w:r>
      <w:r>
        <w:rPr>
          <w:rFonts w:eastAsia="仿宋_GB2312"/>
          <w:sz w:val="32"/>
          <w:szCs w:val="32"/>
        </w:rPr>
        <w:t>政府性基金预算财政拨款收入支出决算表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08</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ascii="仿宋" w:hAnsi="仿宋" w:eastAsia="仿宋"/>
          <w:sz w:val="32"/>
          <w:szCs w:val="32"/>
          <w:highlight w:val="none"/>
        </w:rPr>
      </w:pPr>
      <w:r>
        <w:rPr>
          <w:rFonts w:hint="eastAsia" w:ascii="仿宋" w:hAnsi="仿宋" w:eastAsia="仿宋"/>
          <w:sz w:val="32"/>
          <w:szCs w:val="32"/>
          <w:highlight w:val="none"/>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09 </w:t>
      </w:r>
      <w:r>
        <w:rPr>
          <w:rFonts w:hint="eastAsia" w:ascii="仿宋" w:hAnsi="仿宋" w:eastAsia="仿宋" w:cs="宋体"/>
          <w:kern w:val="0"/>
          <w:sz w:val="32"/>
          <w:szCs w:val="32"/>
          <w:highlight w:val="none"/>
        </w:rPr>
        <w:t>表）</w:t>
      </w:r>
    </w:p>
    <w:p>
      <w:pPr>
        <w:pageBreakBefore w:val="0"/>
        <w:widowControl/>
        <w:kinsoku/>
        <w:wordWrap/>
        <w:overflowPunct/>
        <w:topLinePunct w:val="0"/>
        <w:bidi w:val="0"/>
        <w:adjustRightInd/>
        <w:snapToGrid/>
        <w:spacing w:line="240" w:lineRule="auto"/>
        <w:ind w:left="640" w:firstLine="640" w:firstLineChars="200"/>
        <w:textAlignment w:val="auto"/>
        <w:rPr>
          <w:rFonts w:hint="eastAsia" w:ascii="仿宋" w:hAnsi="仿宋" w:eastAsia="仿宋" w:cs="宋体"/>
          <w:kern w:val="0"/>
          <w:sz w:val="32"/>
          <w:szCs w:val="32"/>
          <w:highlight w:val="none"/>
        </w:rPr>
      </w:pPr>
    </w:p>
    <w:p>
      <w:pPr>
        <w:pageBreakBefore w:val="0"/>
        <w:kinsoku/>
        <w:wordWrap/>
        <w:overflowPunct/>
        <w:topLinePunct w:val="0"/>
        <w:autoSpaceDE w:val="0"/>
        <w:autoSpaceDN w:val="0"/>
        <w:bidi w:val="0"/>
        <w:adjustRightInd/>
        <w:snapToGrid/>
        <w:spacing w:line="240" w:lineRule="auto"/>
        <w:ind w:firstLine="640" w:firstLineChars="200"/>
        <w:textAlignment w:val="auto"/>
        <w:rPr>
          <w:rFonts w:ascii="仿宋" w:hAnsi="仿宋" w:eastAsia="仿宋" w:cs="宋体"/>
          <w:kern w:val="0"/>
          <w:sz w:val="32"/>
          <w:szCs w:val="32"/>
          <w:highlight w:val="none"/>
        </w:rPr>
      </w:pPr>
      <w:r>
        <w:rPr>
          <w:rFonts w:hint="eastAsia" w:ascii="仿宋" w:hAnsi="仿宋" w:eastAsia="仿宋" w:cs="宋体"/>
          <w:kern w:val="0"/>
          <w:sz w:val="32"/>
          <w:szCs w:val="32"/>
          <w:highlight w:val="none"/>
        </w:rPr>
        <w:t>详见附表：《高邑县</w:t>
      </w:r>
      <w:r>
        <w:rPr>
          <w:rFonts w:hint="eastAsia" w:ascii="仿宋" w:hAnsi="仿宋" w:eastAsia="仿宋" w:cs="宋体"/>
          <w:kern w:val="0"/>
          <w:sz w:val="32"/>
          <w:szCs w:val="32"/>
          <w:highlight w:val="none"/>
          <w:lang w:eastAsia="zh-CN"/>
        </w:rPr>
        <w:t>人力资源和社会保障</w:t>
      </w:r>
      <w:r>
        <w:rPr>
          <w:rFonts w:hint="eastAsia" w:ascii="仿宋" w:hAnsi="仿宋" w:eastAsia="仿宋" w:cs="宋体"/>
          <w:kern w:val="0"/>
          <w:sz w:val="32"/>
          <w:szCs w:val="32"/>
          <w:highlight w:val="none"/>
        </w:rPr>
        <w:t>局</w:t>
      </w:r>
      <w:r>
        <w:rPr>
          <w:rFonts w:ascii="仿宋" w:hAnsi="仿宋" w:eastAsia="仿宋" w:cs="宋体"/>
          <w:kern w:val="0"/>
          <w:sz w:val="32"/>
          <w:szCs w:val="32"/>
          <w:highlight w:val="none"/>
        </w:rPr>
        <w:t>20</w:t>
      </w:r>
      <w:r>
        <w:rPr>
          <w:rFonts w:hint="eastAsia" w:ascii="仿宋" w:hAnsi="仿宋" w:eastAsia="仿宋" w:cs="宋体"/>
          <w:kern w:val="0"/>
          <w:sz w:val="32"/>
          <w:szCs w:val="32"/>
          <w:highlight w:val="none"/>
          <w:lang w:val="en-US" w:eastAsia="zh-CN"/>
        </w:rPr>
        <w:t>20</w:t>
      </w:r>
      <w:r>
        <w:rPr>
          <w:rFonts w:hint="eastAsia" w:ascii="仿宋" w:hAnsi="仿宋" w:eastAsia="仿宋" w:cs="宋体"/>
          <w:kern w:val="0"/>
          <w:sz w:val="32"/>
          <w:szCs w:val="32"/>
          <w:highlight w:val="none"/>
        </w:rPr>
        <w:t>年度部门决算公开表》</w:t>
      </w:r>
    </w:p>
    <w:p/>
    <w:p>
      <w:pPr>
        <w:widowControl/>
        <w:jc w:val="center"/>
        <w:textAlignment w:val="center"/>
        <w:rPr>
          <w:rFonts w:ascii="黑体" w:hAnsi="宋体" w:eastAsia="黑体" w:cs="黑体"/>
          <w:color w:val="000000"/>
          <w:kern w:val="0"/>
          <w:sz w:val="28"/>
          <w:szCs w:val="28"/>
          <w:lang w:bidi="ar"/>
        </w:rPr>
        <w:sectPr>
          <w:pgSz w:w="11906" w:h="16838"/>
          <w:pgMar w:top="2098" w:right="1531" w:bottom="1984" w:left="1531" w:header="851" w:footer="992" w:gutter="0"/>
          <w:cols w:space="425" w:num="1"/>
          <w:docGrid w:type="lines" w:linePitch="312" w:charSpace="0"/>
        </w:sectPr>
      </w:pP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5408" behindDoc="0" locked="0" layoutInCell="1" allowOverlap="1">
                <wp:simplePos x="0" y="0"/>
                <wp:positionH relativeFrom="column">
                  <wp:posOffset>-993140</wp:posOffset>
                </wp:positionH>
                <wp:positionV relativeFrom="paragraph">
                  <wp:posOffset>-1353820</wp:posOffset>
                </wp:positionV>
                <wp:extent cx="7632700" cy="10695940"/>
                <wp:effectExtent l="0" t="0" r="2540" b="2540"/>
                <wp:wrapNone/>
                <wp:docPr id="3"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8.2pt;margin-top:-106.6pt;height:842.2pt;width:601pt;z-index:251665408;v-text-anchor:middle;mso-width-relative:page;mso-height-relative:page;" fillcolor="#BDD7EE [1300]"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AaR&#10;7+fcAAAADwEAAA8AAAAAAAAAAQAgAAAAIgAAAGRycy9kb3ducmV2LnhtbFBLAQIUABQAAAAIAIdO&#10;4kBIxKP9kQIAABEFAAAOAAAAAAAAAAEAIAAAACsBAABkcnMvZTJvRG9jLnhtbFBLBQYAAAAABgAG&#10;AFkBAAAuBgAAAAA=&#10;">
                <v:fill on="t" focussize="0,0"/>
                <v:stroke on="f" weight="1pt" miterlimit="8" joinstyle="miter"/>
                <v:imagedata o:title=""/>
                <o:lock v:ext="edit" aspectratio="f"/>
              </v:rect>
            </w:pict>
          </mc:Fallback>
        </mc:AlternateConten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rial Black">
    <w:panose1 w:val="020B0A04020102020204"/>
    <w:charset w:val="00"/>
    <w:family w:val="swiss"/>
    <w:pitch w:val="default"/>
    <w:sig w:usb0="A00002AF" w:usb1="400078FB" w:usb2="00000000" w:usb3="00000000" w:csb0="6000009F" w:csb1="DFD70000"/>
  </w:font>
  <w:font w:name="Cambria">
    <w:panose1 w:val="02040503050406030204"/>
    <w:charset w:val="00"/>
    <w:family w:val="roman"/>
    <w:pitch w:val="default"/>
    <w:sig w:usb0="E00006FF" w:usb1="420024FF" w:usb2="02000000" w:usb3="00000000" w:csb0="2000019F"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950409"/>
    <w:multiLevelType w:val="singleLevel"/>
    <w:tmpl w:val="59950409"/>
    <w:lvl w:ilvl="0" w:tentative="0">
      <w:start w:val="1"/>
      <w:numFmt w:val="decimal"/>
      <w:suff w:val="space"/>
      <w:lvlText w:val="%1."/>
      <w:lvlJc w:val="left"/>
    </w:lvl>
  </w:abstractNum>
  <w:abstractNum w:abstractNumId="1">
    <w:nsid w:val="78C1413D"/>
    <w:multiLevelType w:val="singleLevel"/>
    <w:tmpl w:val="78C1413D"/>
    <w:lvl w:ilvl="0" w:tentative="0">
      <w:start w:val="1"/>
      <w:numFmt w:val="decimal"/>
      <w:suff w:val="space"/>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C45458"/>
    <w:rsid w:val="00061A05"/>
    <w:rsid w:val="00061B93"/>
    <w:rsid w:val="00147453"/>
    <w:rsid w:val="0018668E"/>
    <w:rsid w:val="001B73D2"/>
    <w:rsid w:val="001E62BF"/>
    <w:rsid w:val="0027064E"/>
    <w:rsid w:val="00293E7B"/>
    <w:rsid w:val="002D1F4F"/>
    <w:rsid w:val="002E167A"/>
    <w:rsid w:val="002F1DA9"/>
    <w:rsid w:val="00310EBF"/>
    <w:rsid w:val="00366D90"/>
    <w:rsid w:val="003D2226"/>
    <w:rsid w:val="003D678E"/>
    <w:rsid w:val="00461FAF"/>
    <w:rsid w:val="004D1EA2"/>
    <w:rsid w:val="004D299F"/>
    <w:rsid w:val="005E0E86"/>
    <w:rsid w:val="006C01AE"/>
    <w:rsid w:val="007620A2"/>
    <w:rsid w:val="00791C72"/>
    <w:rsid w:val="007920FC"/>
    <w:rsid w:val="007B4876"/>
    <w:rsid w:val="00801F66"/>
    <w:rsid w:val="00812C39"/>
    <w:rsid w:val="009334BF"/>
    <w:rsid w:val="00995AAE"/>
    <w:rsid w:val="009D1193"/>
    <w:rsid w:val="00A61E3E"/>
    <w:rsid w:val="00B0223F"/>
    <w:rsid w:val="00BA1219"/>
    <w:rsid w:val="00BB2584"/>
    <w:rsid w:val="00BE2400"/>
    <w:rsid w:val="00E54963"/>
    <w:rsid w:val="00EB3F98"/>
    <w:rsid w:val="00F217C2"/>
    <w:rsid w:val="00FD5E00"/>
    <w:rsid w:val="050A467F"/>
    <w:rsid w:val="064017F8"/>
    <w:rsid w:val="0EA325C9"/>
    <w:rsid w:val="0EE17C1A"/>
    <w:rsid w:val="18031295"/>
    <w:rsid w:val="181800A9"/>
    <w:rsid w:val="184400EA"/>
    <w:rsid w:val="20BA160C"/>
    <w:rsid w:val="21361DD6"/>
    <w:rsid w:val="21E925F9"/>
    <w:rsid w:val="22816A05"/>
    <w:rsid w:val="22E46C89"/>
    <w:rsid w:val="23BB5282"/>
    <w:rsid w:val="24B57D75"/>
    <w:rsid w:val="299A36B9"/>
    <w:rsid w:val="29E019F8"/>
    <w:rsid w:val="2ADF2B90"/>
    <w:rsid w:val="2D857BD6"/>
    <w:rsid w:val="2F2A7500"/>
    <w:rsid w:val="31216446"/>
    <w:rsid w:val="34C45458"/>
    <w:rsid w:val="35C83C42"/>
    <w:rsid w:val="366233D7"/>
    <w:rsid w:val="37445DC3"/>
    <w:rsid w:val="3EFE7173"/>
    <w:rsid w:val="3F8A0274"/>
    <w:rsid w:val="4457024E"/>
    <w:rsid w:val="455B0A6B"/>
    <w:rsid w:val="46E27F7D"/>
    <w:rsid w:val="479D040E"/>
    <w:rsid w:val="5609656D"/>
    <w:rsid w:val="5B10538A"/>
    <w:rsid w:val="5B4B113B"/>
    <w:rsid w:val="5DFA70AE"/>
    <w:rsid w:val="5F9A597E"/>
    <w:rsid w:val="60154311"/>
    <w:rsid w:val="64552800"/>
    <w:rsid w:val="695B26FD"/>
    <w:rsid w:val="6AF77BA8"/>
    <w:rsid w:val="6B257937"/>
    <w:rsid w:val="6BA425C8"/>
    <w:rsid w:val="73D824BD"/>
    <w:rsid w:val="764B3663"/>
    <w:rsid w:val="767735D2"/>
    <w:rsid w:val="77854A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qFormat/>
    <w:uiPriority w:val="0"/>
    <w:rPr>
      <w:sz w:val="18"/>
      <w:szCs w:val="1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styleId="9">
    <w:name w:val="List Paragraph"/>
    <w:basedOn w:val="1"/>
    <w:unhideWhenUsed/>
    <w:qFormat/>
    <w:uiPriority w:val="99"/>
    <w:pPr>
      <w:ind w:firstLine="420" w:firstLineChars="200"/>
    </w:pPr>
  </w:style>
  <w:style w:type="character" w:customStyle="1" w:styleId="10">
    <w:name w:val="批注框文本 Char"/>
    <w:basedOn w:val="8"/>
    <w:link w:val="3"/>
    <w:qFormat/>
    <w:uiPriority w:val="0"/>
    <w:rPr>
      <w:rFonts w:asciiTheme="minorHAnsi" w:hAnsiTheme="minorHAnsi" w:eastAsiaTheme="minorEastAsia" w:cstheme="minorBidi"/>
      <w:kern w:val="2"/>
      <w:sz w:val="18"/>
      <w:szCs w:val="18"/>
    </w:rPr>
  </w:style>
  <w:style w:type="character" w:customStyle="1" w:styleId="11">
    <w:name w:val="font51"/>
    <w:basedOn w:val="8"/>
    <w:uiPriority w:val="0"/>
    <w:rPr>
      <w:rFonts w:hint="eastAsia" w:ascii="宋体" w:hAnsi="宋体" w:eastAsia="宋体" w:cs="宋体"/>
      <w:color w:val="000000"/>
      <w:sz w:val="16"/>
      <w:szCs w:val="16"/>
      <w:u w:val="none"/>
    </w:rPr>
  </w:style>
  <w:style w:type="character" w:customStyle="1" w:styleId="12">
    <w:name w:val="font21"/>
    <w:basedOn w:val="8"/>
    <w:qFormat/>
    <w:uiPriority w:val="0"/>
    <w:rPr>
      <w:rFonts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chart" Target="charts/chart6.xml"/><Relationship Id="rId16" Type="http://schemas.openxmlformats.org/officeDocument/2006/relationships/chart" Target="charts/chart5.xml"/><Relationship Id="rId15" Type="http://schemas.openxmlformats.org/officeDocument/2006/relationships/chart" Target="charts/chart4.xml"/><Relationship Id="rId14" Type="http://schemas.openxmlformats.org/officeDocument/2006/relationships/chart" Target="charts/chart3.xml"/><Relationship Id="rId13" Type="http://schemas.openxmlformats.org/officeDocument/2006/relationships/chart" Target="charts/chart2.xml"/><Relationship Id="rId12" Type="http://schemas.openxmlformats.org/officeDocument/2006/relationships/chart" Target="charts/chart1.xml"/><Relationship Id="rId11" Type="http://schemas.openxmlformats.org/officeDocument/2006/relationships/image" Target="media/image2.bmp"/><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2019-2020</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年收支总计对比情况（图</a:t>
            </a: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1</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a:t>
            </a:r>
            <a:endPar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endParaRPr>
          </a:p>
        </c:rich>
      </c:tx>
      <c:layout>
        <c:manualLayout>
          <c:xMode val="edge"/>
          <c:yMode val="edge"/>
          <c:x val="0.209718361608105"/>
          <c:y val="0.846648044692737"/>
        </c:manualLayout>
      </c:layout>
      <c:overlay val="0"/>
      <c:spPr>
        <a:noFill/>
        <a:ln>
          <a:noFill/>
        </a:ln>
        <a:effectLst/>
      </c:spPr>
    </c:title>
    <c:autoTitleDeleted val="0"/>
    <c:plotArea>
      <c:layout>
        <c:manualLayout>
          <c:layoutTarget val="inner"/>
          <c:xMode val="edge"/>
          <c:yMode val="edge"/>
          <c:x val="0.123946243127673"/>
          <c:y val="0.0879888268156425"/>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2019年</c:v>
                </c:pt>
                <c:pt idx="1">
                  <c:v>2020年</c:v>
                </c:pt>
              </c:strCache>
            </c:strRef>
          </c:cat>
          <c:val>
            <c:numRef>
              <c:f>Sheet1!$B$2:$B$3</c:f>
              <c:numCache>
                <c:formatCode>General</c:formatCode>
                <c:ptCount val="2"/>
                <c:pt idx="0">
                  <c:v>9924.84</c:v>
                </c:pt>
                <c:pt idx="1">
                  <c:v>13665.02</c:v>
                </c:pt>
              </c:numCache>
            </c:numRef>
          </c:val>
        </c:ser>
        <c:dLbls>
          <c:showLegendKey val="0"/>
          <c:showVal val="1"/>
          <c:showCatName val="0"/>
          <c:showSerName val="0"/>
          <c:showPercent val="0"/>
          <c:showBubbleSize val="0"/>
        </c:dLbls>
        <c:gapWidth val="219"/>
        <c:overlap val="-27"/>
        <c:axId val="325272704"/>
        <c:axId val="325275648"/>
      </c:barChart>
      <c:catAx>
        <c:axId val="32527270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5648"/>
        <c:crosses val="autoZero"/>
        <c:auto val="1"/>
        <c:lblAlgn val="ctr"/>
        <c:lblOffset val="100"/>
        <c:noMultiLvlLbl val="0"/>
      </c:catAx>
      <c:valAx>
        <c:axId val="325275648"/>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2704"/>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chart>
  <c:spPr>
    <a:solidFill>
      <a:schemeClr val="bg1"/>
    </a:solidFill>
    <a:ln w="9525"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atin typeface="楷体" panose="02010609060101010101" charset="-122"/>
                <a:ea typeface="楷体" panose="02010609060101010101" charset="-122"/>
                <a:cs typeface="楷体" panose="02010609060101010101" charset="-122"/>
              </a:rPr>
              <a:t>收入决算构成情况（图2）</a:t>
            </a:r>
            <a:endParaRPr>
              <a:latin typeface="楷体" panose="02010609060101010101" charset="-122"/>
              <a:ea typeface="楷体" panose="02010609060101010101" charset="-122"/>
              <a:cs typeface="楷体" panose="02010609060101010101" charset="-122"/>
            </a:endParaRPr>
          </a:p>
        </c:rich>
      </c:tx>
      <c:layout/>
      <c:overlay val="0"/>
      <c:spPr>
        <a:noFill/>
        <a:ln>
          <a:noFill/>
        </a:ln>
        <a:effectLst/>
      </c:spPr>
    </c:title>
    <c:autoTitleDeleted val="0"/>
    <c:plotArea>
      <c:layout/>
      <c:pieChart>
        <c:varyColors val="1"/>
        <c:ser>
          <c:idx val="0"/>
          <c:order val="0"/>
          <c:tx>
            <c:strRef>
              <c:f>Sheet1!$B$1</c:f>
              <c:strCache>
                <c:ptCount val="1"/>
                <c:pt idx="0">
                  <c:v>收入决算构成情况（图2）</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其他收入</c:v>
                </c:pt>
              </c:strCache>
            </c:strRef>
          </c:cat>
          <c:val>
            <c:numRef>
              <c:f>Sheet1!$B$2:$B$3</c:f>
              <c:numCache>
                <c:formatCode>0.00%</c:formatCode>
                <c:ptCount val="2"/>
                <c:pt idx="0">
                  <c:v>0.9971</c:v>
                </c:pt>
                <c:pt idx="1">
                  <c:v>0.0029</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atin typeface="楷体" panose="02010609060101010101" charset="-122"/>
                <a:ea typeface="楷体" panose="02010609060101010101" charset="-122"/>
                <a:cs typeface="楷体" panose="02010609060101010101" charset="-122"/>
              </a:rPr>
              <a:t>支出决算构成情况（图3）</a:t>
            </a:r>
            <a:endParaRPr>
              <a:latin typeface="楷体" panose="02010609060101010101" charset="-122"/>
              <a:ea typeface="楷体" panose="02010609060101010101" charset="-122"/>
              <a:cs typeface="楷体" panose="02010609060101010101" charset="-122"/>
            </a:endParaRPr>
          </a:p>
        </c:rich>
      </c:tx>
      <c:layout/>
      <c:overlay val="0"/>
      <c:spPr>
        <a:noFill/>
        <a:ln>
          <a:noFill/>
        </a:ln>
        <a:effectLst/>
      </c:spPr>
    </c:title>
    <c:autoTitleDeleted val="0"/>
    <c:plotArea>
      <c:layout/>
      <c:pieChart>
        <c:varyColors val="1"/>
        <c:ser>
          <c:idx val="0"/>
          <c:order val="0"/>
          <c:tx>
            <c:strRef>
              <c:f>Sheet1!$B$1</c:f>
              <c:strCache>
                <c:ptCount val="1"/>
                <c:pt idx="0">
                  <c:v>支出决算构成情况（图3）</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0.0654</c:v>
                </c:pt>
                <c:pt idx="1">
                  <c:v>0.9346</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374825256290774"/>
          <c:y val="0.905517959396148"/>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latin typeface="楷体" panose="02010609060101010101" charset="-122"/>
                <a:ea typeface="楷体" panose="02010609060101010101" charset="-122"/>
                <a:cs typeface="楷体" panose="02010609060101010101" charset="-122"/>
              </a:rPr>
              <a:t>2019-2020</a:t>
            </a:r>
            <a:r>
              <a:rPr altLang="en-US">
                <a:latin typeface="楷体" panose="02010609060101010101" charset="-122"/>
                <a:ea typeface="楷体" panose="02010609060101010101" charset="-122"/>
                <a:cs typeface="楷体" panose="02010609060101010101" charset="-122"/>
              </a:rPr>
              <a:t>财政拨款收支决算对比情况（图</a:t>
            </a:r>
            <a:r>
              <a:rPr lang="en-US" altLang="zh-CN">
                <a:latin typeface="楷体" panose="02010609060101010101" charset="-122"/>
                <a:ea typeface="楷体" panose="02010609060101010101" charset="-122"/>
                <a:cs typeface="楷体" panose="02010609060101010101" charset="-122"/>
              </a:rPr>
              <a:t>4</a:t>
            </a:r>
            <a:r>
              <a:rPr altLang="en-US">
                <a:latin typeface="楷体" panose="02010609060101010101" charset="-122"/>
                <a:ea typeface="楷体" panose="02010609060101010101" charset="-122"/>
                <a:cs typeface="楷体" panose="02010609060101010101" charset="-122"/>
              </a:rPr>
              <a:t>）</a:t>
            </a:r>
            <a:endParaRPr lang="en-US" altLang="zh-CN">
              <a:latin typeface="楷体" panose="02010609060101010101" charset="-122"/>
              <a:ea typeface="楷体" panose="02010609060101010101" charset="-122"/>
              <a:cs typeface="楷体" panose="02010609060101010101" charset="-122"/>
            </a:endParaRP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2019年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9642.15</c:v>
                </c:pt>
                <c:pt idx="1">
                  <c:v>9855.75</c:v>
                </c:pt>
              </c:numCache>
            </c:numRef>
          </c:val>
        </c:ser>
        <c:ser>
          <c:idx val="1"/>
          <c:order val="1"/>
          <c:tx>
            <c:strRef>
              <c:f>Sheet1!$C$1</c:f>
              <c:strCache>
                <c:ptCount val="1"/>
                <c:pt idx="0">
                  <c:v>2020年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13512.02</c:v>
                </c:pt>
                <c:pt idx="1">
                  <c:v>13230.66</c:v>
                </c:pt>
              </c:numCache>
            </c:numRef>
          </c:val>
        </c:ser>
        <c:dLbls>
          <c:showLegendKey val="0"/>
          <c:showVal val="1"/>
          <c:showCatName val="0"/>
          <c:showSerName val="0"/>
          <c:showPercent val="0"/>
          <c:showBubbleSize val="0"/>
        </c:dLbls>
        <c:gapWidth val="219"/>
        <c:overlap val="-27"/>
        <c:axId val="428511234"/>
        <c:axId val="444712652"/>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delete val="1"/>
                </c:dLbls>
                <c:cat>
                  <c:strRef>
                    <c:extLst>
                      <c:ext uri="{02D57815-91ED-43cb-92C2-25804820EDAC}">
                        <c15:fullRef>
                          <c15:sqref/>
                        </c15:fullRef>
                        <c15:formulaRef>
                          <c15:sqref>Sheet1!$A$2:$A$3</c15:sqref>
                        </c15:formulaRef>
                      </c:ext>
                    </c:extLst>
                    <c:strCache>
                      <c:ptCount val="2"/>
                      <c:pt idx="0">
                        <c:v>收入</c:v>
                      </c:pt>
                      <c:pt idx="1">
                        <c:v>支出</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428511234"/>
        <c:scaling>
          <c:orientation val="minMax"/>
        </c:scaling>
        <c:delete val="0"/>
        <c:axPos val="b"/>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44712652"/>
        <c:crosses val="autoZero"/>
        <c:auto val="1"/>
        <c:lblAlgn val="ctr"/>
        <c:lblOffset val="100"/>
        <c:noMultiLvlLbl val="0"/>
      </c:catAx>
      <c:valAx>
        <c:axId val="4447126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2851123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latin typeface="楷体" panose="02010609060101010101" charset="-122"/>
                <a:ea typeface="楷体" panose="02010609060101010101" charset="-122"/>
                <a:cs typeface="楷体" panose="02010609060101010101" charset="-122"/>
              </a:rPr>
              <a:t>2020</a:t>
            </a:r>
            <a:r>
              <a:rPr altLang="en-US">
                <a:latin typeface="楷体" panose="02010609060101010101" charset="-122"/>
                <a:ea typeface="楷体" panose="02010609060101010101" charset="-122"/>
                <a:cs typeface="楷体" panose="02010609060101010101" charset="-122"/>
              </a:rPr>
              <a:t>财政拨款收支预算对比情况（图</a:t>
            </a:r>
            <a:r>
              <a:rPr lang="en-US" altLang="zh-CN">
                <a:latin typeface="楷体" panose="02010609060101010101" charset="-122"/>
                <a:ea typeface="楷体" panose="02010609060101010101" charset="-122"/>
                <a:cs typeface="楷体" panose="02010609060101010101" charset="-122"/>
              </a:rPr>
              <a:t>5</a:t>
            </a:r>
            <a:r>
              <a:rPr altLang="en-US">
                <a:latin typeface="楷体" panose="02010609060101010101" charset="-122"/>
                <a:ea typeface="楷体" panose="02010609060101010101" charset="-122"/>
                <a:cs typeface="楷体" panose="02010609060101010101" charset="-122"/>
              </a:rPr>
              <a:t>）</a:t>
            </a:r>
            <a:endParaRPr lang="en-US" altLang="zh-CN">
              <a:latin typeface="楷体" panose="02010609060101010101" charset="-122"/>
              <a:ea typeface="楷体" panose="02010609060101010101" charset="-122"/>
              <a:cs typeface="楷体" panose="02010609060101010101" charset="-122"/>
            </a:endParaRP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预算</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6919.34</c:v>
                </c:pt>
                <c:pt idx="1">
                  <c:v>6919.34</c:v>
                </c:pt>
              </c:numCache>
            </c:numRef>
          </c:val>
        </c:ser>
        <c:ser>
          <c:idx val="1"/>
          <c:order val="1"/>
          <c:tx>
            <c:strRef>
              <c:f>Sheet1!$C$1</c:f>
              <c:strCache>
                <c:ptCount val="1"/>
                <c:pt idx="0">
                  <c:v>决算</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13512.02</c:v>
                </c:pt>
                <c:pt idx="1">
                  <c:v>13230.66</c:v>
                </c:pt>
              </c:numCache>
            </c:numRef>
          </c:val>
        </c:ser>
        <c:dLbls>
          <c:showLegendKey val="0"/>
          <c:showVal val="1"/>
          <c:showCatName val="0"/>
          <c:showSerName val="0"/>
          <c:showPercent val="0"/>
          <c:showBubbleSize val="0"/>
        </c:dLbls>
        <c:gapWidth val="219"/>
        <c:overlap val="-27"/>
        <c:axId val="428511234"/>
        <c:axId val="444712652"/>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delete val="1"/>
                </c:dLbls>
                <c:cat>
                  <c:strRef>
                    <c:extLst>
                      <c:ext uri="{02D57815-91ED-43cb-92C2-25804820EDAC}">
                        <c15:fullRef>
                          <c15:sqref/>
                        </c15:fullRef>
                        <c15:formulaRef>
                          <c15:sqref>Sheet1!$A$2:$A$3</c15:sqref>
                        </c15:formulaRef>
                      </c:ext>
                    </c:extLst>
                    <c:strCache>
                      <c:ptCount val="2"/>
                      <c:pt idx="0">
                        <c:v>收入</c:v>
                      </c:pt>
                      <c:pt idx="1">
                        <c:v>支出</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428511234"/>
        <c:scaling>
          <c:orientation val="minMax"/>
        </c:scaling>
        <c:delete val="0"/>
        <c:axPos val="b"/>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44712652"/>
        <c:crosses val="autoZero"/>
        <c:auto val="1"/>
        <c:lblAlgn val="ctr"/>
        <c:lblOffset val="100"/>
        <c:noMultiLvlLbl val="0"/>
      </c:catAx>
      <c:valAx>
        <c:axId val="4447126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2851123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atin typeface="楷体" panose="02010609060101010101" charset="-122"/>
                <a:ea typeface="楷体" panose="02010609060101010101" charset="-122"/>
                <a:cs typeface="楷体" panose="02010609060101010101" charset="-122"/>
              </a:rPr>
              <a:t>财政拨款支出决算构成情况（图6）</a:t>
            </a:r>
            <a:endParaRPr>
              <a:latin typeface="楷体" panose="02010609060101010101" charset="-122"/>
              <a:ea typeface="楷体" panose="02010609060101010101" charset="-122"/>
              <a:cs typeface="楷体" panose="02010609060101010101" charset="-122"/>
            </a:endParaRPr>
          </a:p>
        </c:rich>
      </c:tx>
      <c:layout/>
      <c:overlay val="0"/>
      <c:spPr>
        <a:noFill/>
        <a:ln>
          <a:noFill/>
        </a:ln>
        <a:effectLst/>
      </c:spPr>
    </c:title>
    <c:autoTitleDeleted val="0"/>
    <c:plotArea>
      <c:layout/>
      <c:pieChart>
        <c:varyColors val="1"/>
        <c:ser>
          <c:idx val="0"/>
          <c:order val="0"/>
          <c:tx>
            <c:strRef>
              <c:f>Sheet1!$B$1</c:f>
              <c:strCache>
                <c:ptCount val="1"/>
                <c:pt idx="0">
                  <c:v>财政拨款支出决算构成情况（图6）</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Lbls>
            <c:delete val="1"/>
          </c:dLbls>
          <c:cat>
            <c:strRef>
              <c:f>Sheet1!$A$2:$A$8</c:f>
              <c:strCache>
                <c:ptCount val="7"/>
                <c:pt idx="0">
                  <c:v>一般公共服务（类）</c:v>
                </c:pt>
                <c:pt idx="1">
                  <c:v>教育（类）</c:v>
                </c:pt>
                <c:pt idx="2">
                  <c:v>社会保障和就业（类）</c:v>
                </c:pt>
                <c:pt idx="3">
                  <c:v>卫生健康（类）</c:v>
                </c:pt>
                <c:pt idx="4">
                  <c:v>农林水（类）</c:v>
                </c:pt>
                <c:pt idx="5">
                  <c:v>住房保障（类）</c:v>
                </c:pt>
                <c:pt idx="6">
                  <c:v>抗疫特别国债</c:v>
                </c:pt>
              </c:strCache>
            </c:strRef>
          </c:cat>
          <c:val>
            <c:numRef>
              <c:f>Sheet1!$B$2:$B$8</c:f>
              <c:numCache>
                <c:formatCode>0.00%</c:formatCode>
                <c:ptCount val="7"/>
                <c:pt idx="0">
                  <c:v>0.0007</c:v>
                </c:pt>
                <c:pt idx="1">
                  <c:v>0.0023</c:v>
                </c:pt>
                <c:pt idx="2">
                  <c:v>0.976</c:v>
                </c:pt>
                <c:pt idx="3">
                  <c:v>0.0025</c:v>
                </c:pt>
                <c:pt idx="4">
                  <c:v>0.0106</c:v>
                </c:pt>
                <c:pt idx="5">
                  <c:v>0.0043</c:v>
                </c:pt>
                <c:pt idx="6">
                  <c:v>0.0036</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34</Pages>
  <Words>1765</Words>
  <Characters>10064</Characters>
  <Lines>83</Lines>
  <Paragraphs>23</Paragraphs>
  <TotalTime>23</TotalTime>
  <ScaleCrop>false</ScaleCrop>
  <LinksUpToDate>false</LinksUpToDate>
  <CharactersWithSpaces>11806</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Lenovo</cp:lastModifiedBy>
  <cp:lastPrinted>2021-11-16T02:54:00Z</cp:lastPrinted>
  <dcterms:modified xsi:type="dcterms:W3CDTF">2021-11-17T02:25:12Z</dcterms:modified>
  <dc:title>_x000F_</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65FA352BAB5146309CB066C800874C19</vt:lpwstr>
  </property>
</Properties>
</file>