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20" w:lineRule="exact"/>
        <w:jc w:val="distribute"/>
        <w:rPr>
          <w:rFonts w:ascii="Times New Roman" w:hAnsi="Times New Roman" w:eastAsia="宋体" w:cs="Times New Roman"/>
          <w:b/>
          <w:kern w:val="15"/>
          <w:sz w:val="48"/>
          <w:szCs w:val="48"/>
        </w:rPr>
      </w:pPr>
      <w:r>
        <w:rPr>
          <w:rFonts w:hint="eastAsia" w:ascii="Times New Roman" w:hAnsi="Times New Roman" w:eastAsia="宋体" w:cs="Times New Roman"/>
          <w:b/>
          <w:kern w:val="15"/>
          <w:sz w:val="48"/>
          <w:szCs w:val="48"/>
        </w:rPr>
        <w:t>河北红日会计师事务所有限公司</w:t>
      </w:r>
    </w:p>
    <w:p>
      <w:pPr>
        <w:spacing w:line="320" w:lineRule="exact"/>
        <w:jc w:val="center"/>
        <w:rPr>
          <w:rFonts w:ascii="楷体" w:hAnsi="Times New Roman" w:eastAsia="楷体" w:cs="Times New Roman"/>
          <w:sz w:val="24"/>
          <w:szCs w:val="24"/>
        </w:rPr>
      </w:pPr>
    </w:p>
    <w:p>
      <w:pPr>
        <w:tabs>
          <w:tab w:val="left" w:pos="3150"/>
        </w:tabs>
        <w:spacing w:line="480" w:lineRule="exact"/>
        <w:jc w:val="center"/>
        <w:rPr>
          <w:rFonts w:ascii="宋体" w:hAnsi="Times New Roman" w:eastAsia="宋体" w:cs="Times New Roman"/>
          <w:sz w:val="24"/>
          <w:szCs w:val="24"/>
        </w:rPr>
      </w:pPr>
      <w:r>
        <w:rPr>
          <w:rFonts w:hint="eastAsia" w:ascii="宋体" w:hAnsi="Times New Roman" w:eastAsia="宋体" w:cs="Times New Roman"/>
          <w:sz w:val="24"/>
          <w:szCs w:val="24"/>
        </w:rPr>
        <w:t>红日专字【2021】161</w:t>
      </w:r>
      <w:r>
        <w:rPr>
          <w:rFonts w:hint="eastAsia" w:ascii="宋体" w:hAnsi="Times New Roman" w:eastAsia="宋体" w:cs="Times New Roman"/>
          <w:sz w:val="24"/>
          <w:szCs w:val="24"/>
          <w:highlight w:val="none"/>
        </w:rPr>
        <w:t>号</w:t>
      </w:r>
    </w:p>
    <w:p>
      <w:pPr>
        <w:tabs>
          <w:tab w:val="left" w:pos="3150"/>
        </w:tabs>
        <w:jc w:val="center"/>
        <w:rPr>
          <w:rFonts w:ascii="Times New Roman" w:hAnsi="Times New Roman" w:eastAsia="宋体" w:cs="Times New Roman"/>
          <w:spacing w:val="70"/>
          <w:sz w:val="18"/>
          <w:szCs w:val="24"/>
        </w:rPr>
      </w:pPr>
      <w:r>
        <w:rPr>
          <w:rFonts w:ascii="Times New Roman" w:hAnsi="Times New Roman" w:eastAsia="宋体" w:cs="Times New Roman"/>
          <w:spacing w:val="70"/>
          <w:sz w:val="18"/>
          <w:szCs w:val="24"/>
        </w:rPr>
        <w:t>**************************************************</w:t>
      </w:r>
    </w:p>
    <w:p>
      <w:pPr>
        <w:spacing w:line="480" w:lineRule="auto"/>
        <w:jc w:val="center"/>
        <w:rPr>
          <w:rFonts w:ascii="黑体" w:hAnsi="Times New Roman" w:eastAsia="黑体" w:cs="Times New Roman"/>
          <w:bCs/>
          <w:kern w:val="0"/>
          <w:sz w:val="36"/>
          <w:szCs w:val="24"/>
        </w:rPr>
      </w:pPr>
      <w:r>
        <w:rPr>
          <w:rFonts w:hint="eastAsia" w:ascii="黑体" w:hAnsi="Times New Roman" w:eastAsia="黑体" w:cs="Times New Roman"/>
          <w:bCs/>
          <w:kern w:val="0"/>
          <w:sz w:val="36"/>
          <w:szCs w:val="24"/>
        </w:rPr>
        <w:t xml:space="preserve"> 困难群众补助（抗疫特别国债资金）项目</w:t>
      </w:r>
    </w:p>
    <w:p>
      <w:pPr>
        <w:spacing w:line="480" w:lineRule="auto"/>
        <w:jc w:val="center"/>
        <w:rPr>
          <w:rFonts w:ascii="黑体" w:hAnsi="Times New Roman" w:eastAsia="黑体" w:cs="Times New Roman"/>
          <w:bCs/>
          <w:kern w:val="0"/>
          <w:sz w:val="36"/>
          <w:szCs w:val="24"/>
        </w:rPr>
      </w:pPr>
      <w:r>
        <w:rPr>
          <w:rFonts w:hint="eastAsia" w:ascii="黑体" w:hAnsi="Times New Roman" w:eastAsia="黑体" w:cs="Times New Roman"/>
          <w:bCs/>
          <w:kern w:val="0"/>
          <w:sz w:val="36"/>
          <w:szCs w:val="24"/>
        </w:rPr>
        <w:t>第三方绩效重点评价报告</w:t>
      </w:r>
    </w:p>
    <w:p>
      <w:pPr>
        <w:spacing w:line="480" w:lineRule="auto"/>
        <w:rPr>
          <w:rFonts w:ascii="仿宋" w:hAnsi="仿宋" w:eastAsia="仿宋" w:cs="Times New Roman"/>
          <w:sz w:val="30"/>
          <w:szCs w:val="30"/>
        </w:rPr>
      </w:pPr>
      <w:r>
        <w:rPr>
          <w:rFonts w:hint="eastAsia" w:ascii="仿宋" w:hAnsi="仿宋" w:eastAsia="仿宋" w:cs="Times New Roman"/>
          <w:sz w:val="30"/>
          <w:szCs w:val="30"/>
        </w:rPr>
        <w:t>高邑县财政局:</w:t>
      </w:r>
    </w:p>
    <w:p>
      <w:pPr>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为加强资金管理，提高资金使用效益，我们接受委托，对高邑县民政局（以下简称：“民政局”）困难群众补助（抗疫特别国债资金）项目进行绩效评价，并对评价结果的真实性、客观性和公正性负责。</w:t>
      </w:r>
    </w:p>
    <w:p>
      <w:pPr>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我们评价的内容包括该项目相关的制度文件、财务资料及其他与项目相关的资料。民政局对其提供的财务会计资料以及其他相关资料的真实性和完整性负责，并对此做出了书面承诺。</w:t>
      </w:r>
    </w:p>
    <w:p>
      <w:pPr>
        <w:pStyle w:val="13"/>
        <w:numPr>
          <w:ilvl w:val="0"/>
          <w:numId w:val="1"/>
        </w:numPr>
        <w:spacing w:line="480" w:lineRule="auto"/>
        <w:ind w:left="0" w:firstLine="602"/>
        <w:rPr>
          <w:rFonts w:ascii="仿宋" w:hAnsi="仿宋" w:eastAsia="仿宋" w:cs="Times New Roman"/>
          <w:b/>
          <w:sz w:val="30"/>
          <w:szCs w:val="30"/>
        </w:rPr>
      </w:pPr>
      <w:r>
        <w:rPr>
          <w:rFonts w:hint="eastAsia" w:ascii="仿宋" w:hAnsi="仿宋" w:eastAsia="仿宋" w:cs="Times New Roman"/>
          <w:b/>
          <w:sz w:val="30"/>
          <w:szCs w:val="30"/>
        </w:rPr>
        <w:t>项目基本情况</w:t>
      </w:r>
    </w:p>
    <w:p>
      <w:pPr>
        <w:spacing w:line="580" w:lineRule="exact"/>
        <w:ind w:firstLine="562" w:firstLineChars="200"/>
        <w:rPr>
          <w:rFonts w:ascii="仿宋" w:hAnsi="仿宋" w:eastAsia="仿宋" w:cs="Times New Roman"/>
          <w:b/>
          <w:sz w:val="28"/>
          <w:szCs w:val="28"/>
        </w:rPr>
      </w:pPr>
      <w:r>
        <w:rPr>
          <w:rFonts w:hint="eastAsia" w:ascii="仿宋" w:hAnsi="仿宋" w:eastAsia="仿宋" w:cs="Times New Roman"/>
          <w:b/>
          <w:sz w:val="28"/>
          <w:szCs w:val="28"/>
        </w:rPr>
        <w:t>（一）项目概况</w:t>
      </w:r>
    </w:p>
    <w:p>
      <w:pPr>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1、项目基本情况</w:t>
      </w:r>
    </w:p>
    <w:p>
      <w:pPr>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抗疫特别国债是为应对新冠肺炎疫情影响，由中央财政统一发行的特殊国债。根据财政部《关于下达2020年抗疫特别国债支出预算的通知》（财预〔2020〕63号）和河北省财政厅《关于下达抗疫特别国债资金支出预算的通知》（冀财预〔2020〕40号），该资金列入政府性基金预算。在抗疫相关支出方面，主要用于保就业、保基本民生、保市场主体，包括保障困难群众基本生活等方面。此项资金全部列入直达资金管理，并纳入中央财政直达资金监控系统全程监测。该项直达资金的标识为“01004抗疫特别国债”，此标识贯穿资金分配、拨付、使用等整个环节，且保持不变。</w:t>
      </w:r>
    </w:p>
    <w:p>
      <w:pPr>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该项目实施单位为高邑县民政局，2020年困难群众补助（抗疫特别国债资金）用于困难群众基本生活救助。</w:t>
      </w:r>
    </w:p>
    <w:p>
      <w:pPr>
        <w:adjustRightInd w:val="0"/>
        <w:snapToGrid w:val="0"/>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2、项目主要内容及实施情况</w:t>
      </w:r>
    </w:p>
    <w:p>
      <w:pPr>
        <w:adjustRightInd w:val="0"/>
        <w:snapToGrid w:val="0"/>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困难群众补助（抗疫特别国债资金）项目资金共计560万元，主要用于保障城乡低保人员、特困救助供养人员、困难残疾人和重度残疾人及孤儿基本生活，每月通过社会化发放形式按时按标准发放。</w:t>
      </w:r>
    </w:p>
    <w:p>
      <w:pPr>
        <w:adjustRightInd w:val="0"/>
        <w:snapToGrid w:val="0"/>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3、项目资金情况</w:t>
      </w:r>
    </w:p>
    <w:p>
      <w:pPr>
        <w:adjustRightInd w:val="0"/>
        <w:snapToGrid w:val="0"/>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2020年困难群众补助（抗疫特别国债资金）共计收到5,600,000.00元，其中用于城乡低保支出3,380,447.00元，用于分散特困人员供养资金支出1,283,916.00元，用于集中特困人员供养资金支出147,596.00元，用于孤儿基本生活费支出151,200.00元，用于残疾人生活补贴和护理费支出636,841.00元。</w:t>
      </w:r>
    </w:p>
    <w:p>
      <w:pPr>
        <w:spacing w:line="580" w:lineRule="exact"/>
        <w:ind w:firstLine="562" w:firstLineChars="200"/>
        <w:rPr>
          <w:rFonts w:ascii="仿宋" w:hAnsi="仿宋" w:eastAsia="仿宋" w:cs="仿宋_GB2312"/>
          <w:b/>
          <w:sz w:val="28"/>
          <w:szCs w:val="28"/>
        </w:rPr>
      </w:pPr>
      <w:r>
        <w:rPr>
          <w:rFonts w:hint="eastAsia" w:ascii="仿宋" w:hAnsi="仿宋" w:eastAsia="仿宋" w:cs="仿宋_GB2312"/>
          <w:b/>
          <w:sz w:val="28"/>
          <w:szCs w:val="28"/>
        </w:rPr>
        <w:t>（二）项目预期绩效目标</w:t>
      </w:r>
    </w:p>
    <w:p>
      <w:pPr>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困难群众补助（抗疫特别国债资金）项目预期绩效目标为：目标1、保障城乡低保人员基本生活；目标2、保障特困救助供养人员基本生活；目标3、保障困难残疾人和重度残疾人及孤儿基本生活。</w:t>
      </w:r>
    </w:p>
    <w:p>
      <w:pPr>
        <w:spacing w:line="580" w:lineRule="exact"/>
        <w:ind w:firstLine="562" w:firstLineChars="200"/>
        <w:rPr>
          <w:rFonts w:ascii="仿宋" w:hAnsi="仿宋" w:eastAsia="仿宋" w:cs="仿宋_GB2312"/>
          <w:b/>
          <w:sz w:val="28"/>
          <w:szCs w:val="28"/>
        </w:rPr>
      </w:pPr>
      <w:r>
        <w:rPr>
          <w:rFonts w:hint="eastAsia" w:ascii="仿宋" w:hAnsi="仿宋" w:eastAsia="仿宋" w:cs="仿宋_GB2312"/>
          <w:b/>
          <w:sz w:val="28"/>
          <w:szCs w:val="28"/>
        </w:rPr>
        <w:t>（三）项目评价政策依据</w:t>
      </w:r>
    </w:p>
    <w:p>
      <w:pPr>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1、《财政违法行为处罚处分条例》（国务院令第427号）；</w:t>
      </w:r>
    </w:p>
    <w:p>
      <w:pPr>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2、《中华人民共和国预算法》；</w:t>
      </w:r>
    </w:p>
    <w:p>
      <w:pPr>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3、《财政部门监督办法》（财政部令〔2012〕69号）；</w:t>
      </w:r>
    </w:p>
    <w:p>
      <w:pPr>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4、《财政检查工作办法》（财政部令〔2006〕32号）；</w:t>
      </w:r>
    </w:p>
    <w:p>
      <w:pPr>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5、《项目支出绩效评价管理办法》（财政部预〔2020〕10 号）；</w:t>
      </w:r>
    </w:p>
    <w:p>
      <w:pPr>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6、《关于下达2020年抗疫特别国债支出预算的通知》（财预〔2020〕63号）；</w:t>
      </w:r>
    </w:p>
    <w:p>
      <w:pPr>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7、《关于提高城乡低保、特困人员供养标准的通知》（高民政〔2020〕9号）；</w:t>
      </w:r>
    </w:p>
    <w:p>
      <w:pPr>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8、《石家庄市残疾人联合会关于调整困难残疾人生活补贴和重度残疾人护理补贴标准的通知》（石财社〔2018〕15号）；</w:t>
      </w:r>
    </w:p>
    <w:p>
      <w:pPr>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9、《关于调整孤儿基本生活最低养育标准和制定事实无人抚养儿童基本生活补贴标准的通知》（石民政〔2019〕70号）；</w:t>
      </w:r>
    </w:p>
    <w:p>
      <w:pPr>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10、其他相关法律、法规、政策文件。</w:t>
      </w:r>
    </w:p>
    <w:p>
      <w:pPr>
        <w:pStyle w:val="13"/>
        <w:numPr>
          <w:ilvl w:val="0"/>
          <w:numId w:val="1"/>
        </w:numPr>
        <w:spacing w:line="480" w:lineRule="auto"/>
        <w:ind w:left="0" w:firstLine="602"/>
        <w:rPr>
          <w:rFonts w:ascii="仿宋" w:hAnsi="仿宋" w:eastAsia="仿宋" w:cs="Times New Roman"/>
          <w:b/>
          <w:sz w:val="30"/>
          <w:szCs w:val="30"/>
        </w:rPr>
      </w:pPr>
      <w:r>
        <w:rPr>
          <w:rFonts w:hint="eastAsia" w:ascii="仿宋" w:hAnsi="仿宋" w:eastAsia="仿宋" w:cs="Times New Roman"/>
          <w:b/>
          <w:sz w:val="30"/>
          <w:szCs w:val="30"/>
        </w:rPr>
        <w:t>绩效评价工作情况</w:t>
      </w:r>
    </w:p>
    <w:p>
      <w:pPr>
        <w:adjustRightInd w:val="0"/>
        <w:snapToGrid w:val="0"/>
        <w:spacing w:line="580" w:lineRule="exact"/>
        <w:ind w:firstLine="562" w:firstLineChars="200"/>
        <w:rPr>
          <w:rFonts w:ascii="仿宋" w:hAnsi="仿宋" w:eastAsia="仿宋" w:cs="仿宋_GB2312"/>
          <w:b/>
          <w:sz w:val="28"/>
          <w:szCs w:val="28"/>
        </w:rPr>
      </w:pPr>
      <w:r>
        <w:rPr>
          <w:rFonts w:hint="eastAsia" w:ascii="仿宋" w:hAnsi="仿宋" w:eastAsia="仿宋" w:cs="仿宋_GB2312"/>
          <w:b/>
          <w:sz w:val="28"/>
          <w:szCs w:val="28"/>
        </w:rPr>
        <w:t>（一）绩效评价目的、对象和范围</w:t>
      </w:r>
    </w:p>
    <w:p>
      <w:pPr>
        <w:adjustRightInd w:val="0"/>
        <w:snapToGrid w:val="0"/>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1、</w:t>
      </w:r>
      <w:r>
        <w:rPr>
          <w:rFonts w:hint="eastAsia" w:ascii="仿宋" w:hAnsi="仿宋" w:eastAsia="仿宋"/>
          <w:bCs/>
          <w:sz w:val="28"/>
          <w:szCs w:val="28"/>
        </w:rPr>
        <w:t>绩效评价的目的</w:t>
      </w:r>
    </w:p>
    <w:p>
      <w:pPr>
        <w:adjustRightInd w:val="0"/>
        <w:snapToGrid w:val="0"/>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通过绩效评价，加强财政支出管理，强化支出责任，提高财政资金的使用效益。根据绩效评价中发现的问题，及时调整和优化本项目的管理，纠正项目执行过程中的偏差，最终实现该项目的绩效目标。</w:t>
      </w:r>
    </w:p>
    <w:p>
      <w:pPr>
        <w:spacing w:line="360" w:lineRule="auto"/>
        <w:ind w:firstLine="560" w:firstLineChars="200"/>
        <w:jc w:val="left"/>
        <w:rPr>
          <w:rFonts w:ascii="仿宋" w:hAnsi="仿宋" w:eastAsia="仿宋"/>
          <w:bCs/>
          <w:sz w:val="28"/>
          <w:szCs w:val="28"/>
        </w:rPr>
      </w:pPr>
      <w:r>
        <w:rPr>
          <w:rFonts w:hint="eastAsia" w:ascii="仿宋" w:hAnsi="仿宋" w:eastAsia="仿宋" w:cs="仿宋_GB2312"/>
          <w:sz w:val="28"/>
          <w:szCs w:val="28"/>
        </w:rPr>
        <w:t>2、</w:t>
      </w:r>
      <w:r>
        <w:rPr>
          <w:rFonts w:hint="eastAsia" w:ascii="仿宋" w:hAnsi="仿宋" w:eastAsia="仿宋"/>
          <w:bCs/>
          <w:sz w:val="28"/>
          <w:szCs w:val="28"/>
        </w:rPr>
        <w:t>绩效评价对象和范围</w:t>
      </w:r>
    </w:p>
    <w:p>
      <w:pPr>
        <w:adjustRightInd w:val="0"/>
        <w:snapToGrid w:val="0"/>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绩效评价对象和范围：高邑县民政局2020年困难群众补助（抗疫特别国债资金）项目。</w:t>
      </w:r>
    </w:p>
    <w:p>
      <w:pPr>
        <w:adjustRightInd w:val="0"/>
        <w:snapToGrid w:val="0"/>
        <w:spacing w:line="580" w:lineRule="exact"/>
        <w:ind w:firstLine="562" w:firstLineChars="200"/>
        <w:rPr>
          <w:rFonts w:ascii="仿宋" w:hAnsi="仿宋" w:eastAsia="仿宋" w:cs="仿宋_GB2312"/>
          <w:b/>
          <w:sz w:val="28"/>
          <w:szCs w:val="28"/>
        </w:rPr>
      </w:pPr>
      <w:r>
        <w:rPr>
          <w:rFonts w:hint="eastAsia" w:ascii="仿宋" w:hAnsi="仿宋" w:eastAsia="仿宋" w:cs="仿宋_GB2312"/>
          <w:b/>
          <w:sz w:val="28"/>
          <w:szCs w:val="28"/>
        </w:rPr>
        <w:t>（二）绩效评价原则、评价标准、评价方法及过程</w:t>
      </w:r>
    </w:p>
    <w:p>
      <w:pPr>
        <w:adjustRightInd w:val="0"/>
        <w:snapToGrid w:val="0"/>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1、绩效评价原则：按照《项目支出绩效评价管理办法》（财预〔2020〕10号）有关规定，本着“科学公正、统筹兼顾、激励约束、公开透明”的原则开展。</w:t>
      </w:r>
    </w:p>
    <w:p>
      <w:pPr>
        <w:adjustRightInd w:val="0"/>
        <w:snapToGrid w:val="0"/>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2、绩效评价标准：根据重要性、系统性、经济性和相关性原则，参照《项目支出绩效评价指标体系框架（参考）》，保持一级指标不变，根据项目特点，对部分二级指标进行了调整，并合理设置指标分值，明确具体评价标准，形成《2020年度困难群众补助（抗疫特别国债资金）项目绩效评价评分表》。绩效评价指标表由项目决策、过程、产出、效益等四部分组成，指标总分值100分。</w:t>
      </w:r>
    </w:p>
    <w:p>
      <w:pPr>
        <w:adjustRightInd w:val="0"/>
        <w:snapToGrid w:val="0"/>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3、评价方法：采取定量分析与定性分析相结合，运用因素分析法、比较法、现场核查法、访谈、问卷调查等基本方法开展评价工作。</w:t>
      </w:r>
    </w:p>
    <w:p>
      <w:pPr>
        <w:adjustRightInd w:val="0"/>
        <w:snapToGrid w:val="0"/>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（1）因素分析法。通过列举分析影响绩效目标实现、实施效果的内外因素，评价绩效目标实现程度。</w:t>
      </w:r>
    </w:p>
    <w:p>
      <w:pPr>
        <w:adjustRightInd w:val="0"/>
        <w:snapToGrid w:val="0"/>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（2）比较法。通过对项目当期实际产生的项目效益结果与预期目标进行分析对比和定性分析、定量分析，分析完成（或未完成）目标的因素，从而评价财政支出绩效。</w:t>
      </w:r>
    </w:p>
    <w:p>
      <w:pPr>
        <w:adjustRightInd w:val="0"/>
        <w:snapToGrid w:val="0"/>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（3）现场核查法。现场对项目进行核实，实事求是检查其财务情况和绩效表现等相关资料。</w:t>
      </w:r>
    </w:p>
    <w:p>
      <w:pPr>
        <w:adjustRightInd w:val="0"/>
        <w:snapToGrid w:val="0"/>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（4）访谈。通过与相关人员进行面谈，针对项目的不同特点和关键问题，直接听取项目管理者、实施人员的意见。</w:t>
      </w:r>
    </w:p>
    <w:p>
      <w:pPr>
        <w:adjustRightInd w:val="0"/>
        <w:snapToGrid w:val="0"/>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（5）问卷调查。设计有针对性的调查问卷，通过对服务对象和受益群体等发放调查问卷，获取对项目实施效果的满意程度。</w:t>
      </w:r>
    </w:p>
    <w:p>
      <w:pPr>
        <w:adjustRightInd w:val="0"/>
        <w:snapToGrid w:val="0"/>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4、评价过程，主要从前期准备、组织实施、问题汇总并交换意见、撰写报告等四方面说明如下：</w:t>
      </w:r>
    </w:p>
    <w:p>
      <w:pPr>
        <w:adjustRightInd w:val="0"/>
        <w:snapToGrid w:val="0"/>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1）前期准备：成立绩效评价工作小组。与项目业主单位及项目代建单位负责人了解项目具体情况及项目的工作流程，明确绩效评价的内容、范围及重点，列出各部门需提供的资料清单，收集资料信息；根据项目具体情况及国家绩效评价相关文件要求，做出绩效评价打分表。</w:t>
      </w:r>
    </w:p>
    <w:p>
      <w:pPr>
        <w:adjustRightInd w:val="0"/>
        <w:snapToGrid w:val="0"/>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（2）组织实施：根据项目资料情况，安排人员分工，对收集的资料信息，及时进行汇总、整理分析。</w:t>
      </w:r>
    </w:p>
    <w:p>
      <w:pPr>
        <w:adjustRightInd w:val="0"/>
        <w:snapToGrid w:val="0"/>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（3）问题汇总及交换意见：汇总纸质资料及现场核查情况，形成绩效评价底稿，与项目单位针对发现的问题交换意见，并签字确认。</w:t>
      </w:r>
    </w:p>
    <w:p>
      <w:pPr>
        <w:adjustRightInd w:val="0"/>
        <w:snapToGrid w:val="0"/>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（4）形成绩效评价报告：根据签字确认的绩效评价底稿，对项目的评价结果打分，最终形成报告。对于报告中发现的问题，及时调整工作方向和工作方法，确保绩效指标的实现。</w:t>
      </w:r>
    </w:p>
    <w:p>
      <w:pPr>
        <w:adjustRightInd w:val="0"/>
        <w:snapToGrid w:val="0"/>
        <w:spacing w:line="580" w:lineRule="exact"/>
        <w:ind w:firstLine="562" w:firstLineChars="200"/>
        <w:rPr>
          <w:rFonts w:ascii="仿宋" w:hAnsi="仿宋" w:eastAsia="仿宋" w:cs="仿宋_GB2312"/>
          <w:b/>
          <w:sz w:val="28"/>
          <w:szCs w:val="28"/>
        </w:rPr>
      </w:pPr>
      <w:r>
        <w:rPr>
          <w:rFonts w:hint="eastAsia" w:ascii="仿宋" w:hAnsi="仿宋" w:eastAsia="仿宋" w:cs="仿宋_GB2312"/>
          <w:b/>
          <w:sz w:val="28"/>
          <w:szCs w:val="28"/>
        </w:rPr>
        <w:t>（三）绩效评价指标体系</w:t>
      </w:r>
    </w:p>
    <w:p>
      <w:pPr>
        <w:adjustRightInd w:val="0"/>
        <w:snapToGrid w:val="0"/>
        <w:spacing w:line="580" w:lineRule="exact"/>
        <w:ind w:firstLine="560" w:firstLineChars="200"/>
        <w:rPr>
          <w:rFonts w:ascii="仿宋" w:hAnsi="仿宋" w:eastAsia="仿宋" w:cs="仿宋_GB2312"/>
          <w:sz w:val="28"/>
          <w:szCs w:val="28"/>
        </w:rPr>
      </w:pPr>
      <w:r>
        <w:rPr>
          <w:rFonts w:ascii="仿宋" w:hAnsi="仿宋" w:eastAsia="仿宋" w:cs="仿宋_GB2312"/>
          <w:sz w:val="28"/>
          <w:szCs w:val="28"/>
        </w:rPr>
        <w:t>指标体系主要分三级指标</w:t>
      </w:r>
      <w:r>
        <w:rPr>
          <w:rFonts w:hint="eastAsia" w:ascii="仿宋" w:hAnsi="仿宋" w:eastAsia="仿宋" w:cs="仿宋_GB2312"/>
          <w:sz w:val="28"/>
          <w:szCs w:val="28"/>
        </w:rPr>
        <w:t>，</w:t>
      </w:r>
      <w:r>
        <w:rPr>
          <w:rFonts w:ascii="仿宋" w:hAnsi="仿宋" w:eastAsia="仿宋" w:cs="仿宋_GB2312"/>
          <w:sz w:val="28"/>
          <w:szCs w:val="28"/>
        </w:rPr>
        <w:t>其中一级指标</w:t>
      </w:r>
      <w:r>
        <w:rPr>
          <w:rFonts w:hint="eastAsia" w:ascii="仿宋" w:hAnsi="仿宋" w:eastAsia="仿宋" w:cs="仿宋_GB2312"/>
          <w:sz w:val="28"/>
          <w:szCs w:val="28"/>
        </w:rPr>
        <w:t>4</w:t>
      </w:r>
      <w:r>
        <w:rPr>
          <w:rFonts w:ascii="仿宋" w:hAnsi="仿宋" w:eastAsia="仿宋" w:cs="仿宋_GB2312"/>
          <w:sz w:val="28"/>
          <w:szCs w:val="28"/>
        </w:rPr>
        <w:t>个</w:t>
      </w:r>
      <w:r>
        <w:rPr>
          <w:rFonts w:hint="eastAsia" w:ascii="仿宋" w:hAnsi="仿宋" w:eastAsia="仿宋" w:cs="仿宋_GB2312"/>
          <w:sz w:val="28"/>
          <w:szCs w:val="28"/>
        </w:rPr>
        <w:t>，二级指标9个，三级指标18个。4个一级指标分别为决策、过程、产出、效益。</w:t>
      </w:r>
      <w:r>
        <w:rPr>
          <w:rFonts w:ascii="仿宋" w:hAnsi="仿宋" w:eastAsia="仿宋" w:cs="仿宋_GB2312"/>
          <w:sz w:val="28"/>
          <w:szCs w:val="28"/>
        </w:rPr>
        <w:t>其中项目</w:t>
      </w:r>
      <w:r>
        <w:rPr>
          <w:rFonts w:hint="eastAsia" w:ascii="仿宋" w:hAnsi="仿宋" w:eastAsia="仿宋" w:cs="仿宋_GB2312"/>
          <w:sz w:val="28"/>
          <w:szCs w:val="28"/>
        </w:rPr>
        <w:t>决策满</w:t>
      </w:r>
      <w:r>
        <w:rPr>
          <w:rFonts w:ascii="仿宋" w:hAnsi="仿宋" w:eastAsia="仿宋" w:cs="仿宋_GB2312"/>
          <w:sz w:val="28"/>
          <w:szCs w:val="28"/>
        </w:rPr>
        <w:t>分为</w:t>
      </w:r>
      <w:r>
        <w:rPr>
          <w:rFonts w:hint="eastAsia" w:ascii="仿宋" w:hAnsi="仿宋" w:eastAsia="仿宋" w:cs="仿宋_GB2312"/>
          <w:sz w:val="28"/>
          <w:szCs w:val="28"/>
        </w:rPr>
        <w:t>10分，主要从项目申请的合规性及依据的充分性、绩效目标的合理性及明确性、项目预算编制的科学性、资金分配的合理性等方面评价。项目过程管理满分10分，主要从资金的到位率、预算执行率、资金使用的合规性（是否挤占、截留、挪用、虚列支出）、后续管理是否到位（有无健全的管理制度、制度执行是否有效）等方面评价。项目产出及效益满分80分，主要从产出数量、产出质量、产出时效、项目效益等方面评价。</w:t>
      </w:r>
    </w:p>
    <w:p>
      <w:pPr>
        <w:pStyle w:val="13"/>
        <w:numPr>
          <w:ilvl w:val="0"/>
          <w:numId w:val="1"/>
        </w:numPr>
        <w:spacing w:line="480" w:lineRule="auto"/>
        <w:ind w:left="0" w:firstLine="602"/>
        <w:rPr>
          <w:rFonts w:ascii="仿宋" w:hAnsi="仿宋" w:eastAsia="仿宋" w:cs="Times New Roman"/>
          <w:b/>
          <w:sz w:val="30"/>
          <w:szCs w:val="30"/>
        </w:rPr>
      </w:pPr>
      <w:r>
        <w:rPr>
          <w:rFonts w:hint="eastAsia" w:ascii="仿宋" w:hAnsi="仿宋" w:eastAsia="仿宋" w:cs="Times New Roman"/>
          <w:b/>
          <w:sz w:val="30"/>
          <w:szCs w:val="30"/>
        </w:rPr>
        <w:t>项目执行及绩效情况</w:t>
      </w:r>
    </w:p>
    <w:p>
      <w:pPr>
        <w:adjustRightInd w:val="0"/>
        <w:snapToGrid w:val="0"/>
        <w:spacing w:line="580" w:lineRule="exact"/>
        <w:ind w:firstLine="562" w:firstLineChars="200"/>
        <w:rPr>
          <w:rFonts w:hint="eastAsia" w:ascii="仿宋" w:hAnsi="仿宋" w:eastAsia="仿宋" w:cs="仿宋_GB2312"/>
          <w:b/>
          <w:sz w:val="28"/>
          <w:szCs w:val="28"/>
        </w:rPr>
      </w:pPr>
      <w:r>
        <w:rPr>
          <w:rFonts w:hint="eastAsia" w:ascii="仿宋" w:hAnsi="仿宋" w:eastAsia="仿宋" w:cs="仿宋_GB2312"/>
          <w:b/>
          <w:sz w:val="28"/>
          <w:szCs w:val="28"/>
        </w:rPr>
        <w:t>（一）项目决策（10分）</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1、项目立项（2分）　</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（1）立项依据充分性（1分）</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经核实民政局无立项文件，该项得分0分。</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（2）立项程序规范性（1分）</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经核实民政局无项目立项的相关审批文件及材料，该项得分0分。</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2、绩效目标（4分）</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（1）绩效目标合理性（2分）　</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 xml:space="preserve">经核实民政局针对2020年困难群众补助（抗疫特别国债资金）项目，依据《项目支出绩效评价管理办法》（财政部预〔2020〕10 号）制定了合理的绩效指标，符合客观实际，与实际工作内容具有相关性，该项得分2分。 </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（2）绩效指标明确性（2分）</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经核实民政局无细化分解的具体绩效指标，绩效指标清晰、细化、可衡量性稍差，该项得分1.5分。</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3、资金投入（4分）</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（1）预算编制科学性（2分）</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该项目严格按照国家相关政策规定编制预算，标准明确，依据充分，该项得分2分。</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（2）资金分配合理性（2分）</w:t>
      </w:r>
    </w:p>
    <w:p>
      <w:pPr>
        <w:adjustRightInd w:val="0"/>
        <w:snapToGrid w:val="0"/>
        <w:spacing w:line="580" w:lineRule="exact"/>
        <w:ind w:left="420" w:leftChars="200"/>
        <w:rPr>
          <w:rFonts w:ascii="仿宋" w:hAnsi="仿宋" w:eastAsia="仿宋" w:cs="仿宋_GB2312"/>
          <w:sz w:val="28"/>
          <w:szCs w:val="28"/>
        </w:rPr>
      </w:pPr>
      <w:r>
        <w:rPr>
          <w:rFonts w:hint="eastAsia" w:ascii="仿宋" w:hAnsi="仿宋" w:eastAsia="仿宋" w:cs="仿宋_GB2312"/>
          <w:sz w:val="28"/>
          <w:szCs w:val="28"/>
        </w:rPr>
        <w:t>该项目预算资金分配依据充分，分配额度合理，该项得分2分。</w:t>
      </w:r>
      <w:r>
        <w:rPr>
          <w:rFonts w:hint="eastAsia" w:ascii="仿宋" w:hAnsi="仿宋" w:eastAsia="仿宋" w:cs="仿宋_GB2312"/>
          <w:b/>
          <w:sz w:val="28"/>
          <w:szCs w:val="28"/>
        </w:rPr>
        <w:t>（二）项目过程（10分）</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1、资金管理（6分）</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（1）资金到位率（2分）</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该项目2020年申请预算资金560.00万元，实际到位560.00万元，资金到位率100%，该项得分2分。</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（2）预算执行率（2分）</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该项目2020年度实际到位资金560.00万元，实际支出资金560.00万元，年末无结余，预算执行率为100%，该项得分2分。</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（3）资金使用合规性（2分）</w:t>
      </w:r>
    </w:p>
    <w:p>
      <w:pPr>
        <w:adjustRightInd w:val="0"/>
        <w:snapToGrid w:val="0"/>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经核实，项目资金使用符合国家财经法规和财务管理制度以及有关专项资金管理办法的规定;资金的拨付有完整的审批程序和手续;符合项目预算批复规定的用途；未发现截留、挤占、挪用、虚列支出等情况，该项得分2分。</w:t>
      </w:r>
    </w:p>
    <w:p>
      <w:pPr>
        <w:spacing w:line="57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2、组织实施（4分）</w:t>
      </w:r>
    </w:p>
    <w:p>
      <w:pPr>
        <w:spacing w:line="57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（1）管理制度健全性（2分）</w:t>
      </w:r>
    </w:p>
    <w:p>
      <w:pPr>
        <w:spacing w:line="57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经核实民政局已制定了合法、合规、完整的财务和业务管理制度，该项得分2分。</w:t>
      </w:r>
    </w:p>
    <w:p>
      <w:pPr>
        <w:spacing w:line="57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（2）制度执行有效性（2分）</w:t>
      </w:r>
    </w:p>
    <w:p>
      <w:pPr>
        <w:spacing w:line="57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我们根据国家相关法律法规检查了民政局相关财务和业务管理制度；我们审查了民政局提供的困难群众补助（抗疫特别国债资金）项目明细账、相关原始凭证以及其他业务资料，我们认为民政局基本能够遵守相关法律法规和相关管理规定，但存在制度执行的瑕疵，该项得分1.5分。</w:t>
      </w:r>
    </w:p>
    <w:p>
      <w:pPr>
        <w:adjustRightInd w:val="0"/>
        <w:snapToGrid w:val="0"/>
        <w:spacing w:line="580" w:lineRule="exact"/>
        <w:ind w:firstLine="562" w:firstLineChars="200"/>
        <w:rPr>
          <w:rFonts w:hint="eastAsia" w:ascii="仿宋" w:hAnsi="仿宋" w:eastAsia="仿宋" w:cs="仿宋_GB2312"/>
          <w:b/>
          <w:sz w:val="28"/>
          <w:szCs w:val="28"/>
        </w:rPr>
      </w:pPr>
      <w:r>
        <w:rPr>
          <w:rFonts w:hint="eastAsia" w:ascii="仿宋" w:hAnsi="仿宋" w:eastAsia="仿宋" w:cs="仿宋_GB2312"/>
          <w:b/>
          <w:sz w:val="28"/>
          <w:szCs w:val="28"/>
        </w:rPr>
        <w:t>（三）项目产出（40分）</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1、产出数量（14分）</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经核实：依据2020年民政局所提供的财务资料及相关业务资料，并通过现场检查及访问调查，民政局能按时完成计划的任务量，该项得分14分。</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2、产出质量（13分）</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经核实：依据2020年民政局所提供的财务资料及相关业务资料，并通过现场检查及访问调查，民政局对完成的任务量能达到既定的标准，该项得分13分。</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3、产出时效（13分）</w:t>
      </w:r>
    </w:p>
    <w:p>
      <w:pPr>
        <w:adjustRightInd w:val="0"/>
        <w:snapToGrid w:val="0"/>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经核实：依据2020年度民政局所提供的明细账、原始凭证等资料，民政局能按时完成相关的任务量，该项得分13分。</w:t>
      </w:r>
    </w:p>
    <w:p>
      <w:pPr>
        <w:adjustRightInd w:val="0"/>
        <w:snapToGrid w:val="0"/>
        <w:spacing w:line="580" w:lineRule="exact"/>
        <w:ind w:firstLine="562" w:firstLineChars="200"/>
        <w:rPr>
          <w:rFonts w:hint="eastAsia" w:ascii="仿宋" w:hAnsi="仿宋" w:eastAsia="仿宋" w:cs="仿宋_GB2312"/>
          <w:b/>
          <w:sz w:val="28"/>
          <w:szCs w:val="28"/>
        </w:rPr>
      </w:pPr>
      <w:r>
        <w:rPr>
          <w:rFonts w:hint="eastAsia" w:ascii="仿宋" w:hAnsi="仿宋" w:eastAsia="仿宋" w:cs="仿宋_GB2312"/>
          <w:b/>
          <w:sz w:val="28"/>
          <w:szCs w:val="28"/>
        </w:rPr>
        <w:t>（四）项目绩效（40分）　　</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1、社会效益（15分）</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通过发放农村低保人员300元/人/月，城镇低保人员400元/人/月，残疾等级一级/二级的残疾人享受补贴75元/人/月，残疾等级三级/四级的残疾人享受补贴66元/人/月，特困人员基本生活补贴624元/人/月，孤儿基本生活费1100元/人/月，解决了困难群众的基本生活问题，在一定程度上提升了困难群众的生活水平，但生活水平仍需稳步提升，该项得分14分。</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2、可持续影响（15分）</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通过对社会分散孤儿、社会集中孤儿、事实无人抚养儿童，发放基本生活费1100元/人/月，保障了孤儿的基本生活，促进了社会的持续稳定，该项得分15分。</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3、满意度（10分）</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通过走访入户大营镇、高邑镇2个镇，东邱村、西邱村、侯家庄村、寺家庄村4个村，廉租房1个小区，发放调查问卷，受助人员对困难补助政策基本了解，对工作人员的工作满意，但仍存在少数人员不了解补助标准及补助政策的情况，该项得分9分。</w:t>
      </w:r>
    </w:p>
    <w:p>
      <w:pPr>
        <w:pStyle w:val="13"/>
        <w:numPr>
          <w:ilvl w:val="0"/>
          <w:numId w:val="1"/>
        </w:numPr>
        <w:spacing w:line="480" w:lineRule="auto"/>
        <w:ind w:left="0" w:firstLine="602"/>
        <w:rPr>
          <w:rFonts w:ascii="仿宋" w:hAnsi="仿宋" w:eastAsia="仿宋" w:cs="Times New Roman"/>
          <w:b/>
          <w:sz w:val="30"/>
          <w:szCs w:val="30"/>
        </w:rPr>
      </w:pPr>
      <w:r>
        <w:rPr>
          <w:rFonts w:hint="eastAsia" w:ascii="仿宋" w:hAnsi="仿宋" w:eastAsia="仿宋" w:cs="Times New Roman"/>
          <w:b/>
          <w:sz w:val="30"/>
          <w:szCs w:val="30"/>
        </w:rPr>
        <w:t>项目绩效评价</w:t>
      </w:r>
    </w:p>
    <w:p>
      <w:pPr>
        <w:adjustRightInd w:val="0"/>
        <w:snapToGrid w:val="0"/>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根据项目执行情况，得出综合评价结论和项目综合绩效评价等级。指标体系设定满分100分，项目综合绩效评价分为4个等级：90（含）-100分为优；80（含）-90分为良；60（含）-80分为中；60分以下为差。</w:t>
      </w:r>
    </w:p>
    <w:p>
      <w:pPr>
        <w:adjustRightInd w:val="0"/>
        <w:snapToGrid w:val="0"/>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民政局得分95分，等级为优。</w:t>
      </w:r>
    </w:p>
    <w:p>
      <w:pPr>
        <w:pStyle w:val="13"/>
        <w:numPr>
          <w:ilvl w:val="0"/>
          <w:numId w:val="1"/>
        </w:numPr>
        <w:spacing w:line="480" w:lineRule="auto"/>
        <w:ind w:left="0" w:firstLine="602"/>
        <w:rPr>
          <w:rFonts w:ascii="仿宋" w:hAnsi="仿宋" w:eastAsia="仿宋" w:cs="Times New Roman"/>
          <w:b/>
          <w:sz w:val="30"/>
          <w:szCs w:val="30"/>
        </w:rPr>
      </w:pPr>
      <w:r>
        <w:rPr>
          <w:rFonts w:hint="eastAsia" w:ascii="仿宋" w:hAnsi="仿宋" w:eastAsia="仿宋" w:cs="Times New Roman"/>
          <w:b/>
          <w:sz w:val="30"/>
          <w:szCs w:val="30"/>
        </w:rPr>
        <w:t>存在的问题及建议</w:t>
      </w:r>
    </w:p>
    <w:p>
      <w:pPr>
        <w:adjustRightInd w:val="0"/>
        <w:snapToGrid w:val="0"/>
        <w:spacing w:line="580" w:lineRule="exact"/>
        <w:ind w:firstLine="562" w:firstLineChars="200"/>
        <w:rPr>
          <w:rFonts w:ascii="仿宋" w:hAnsi="仿宋" w:eastAsia="仿宋" w:cs="仿宋_GB2312"/>
          <w:b/>
          <w:sz w:val="28"/>
          <w:szCs w:val="28"/>
        </w:rPr>
      </w:pPr>
      <w:r>
        <w:rPr>
          <w:rFonts w:hint="eastAsia" w:ascii="仿宋" w:hAnsi="仿宋" w:eastAsia="仿宋" w:cs="仿宋_GB2312"/>
          <w:b/>
          <w:sz w:val="28"/>
          <w:szCs w:val="28"/>
        </w:rPr>
        <w:t>（一）绩效目标设定的不够细化，无量化指标，可衡量性稍差。</w:t>
      </w:r>
    </w:p>
    <w:p>
      <w:pPr>
        <w:adjustRightInd w:val="0"/>
        <w:snapToGrid w:val="0"/>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绩效目标：目标1、保障城乡低保人员基本生活；目标2、保障特困救助供养人员基本生活；目标3、保障困难残疾人和重度残疾人及孤儿基本生活。</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问题：绩效目标不够细化，可衡量性稍差；</w:t>
      </w:r>
    </w:p>
    <w:p>
      <w:pPr>
        <w:adjustRightInd w:val="0"/>
        <w:snapToGrid w:val="0"/>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建议：将项目绩效目标细化分解为具体的绩效指标，达到可量化、可衡量。</w:t>
      </w:r>
    </w:p>
    <w:p>
      <w:pPr>
        <w:adjustRightInd w:val="0"/>
        <w:snapToGrid w:val="0"/>
        <w:spacing w:line="580" w:lineRule="exact"/>
        <w:ind w:firstLine="562" w:firstLineChars="200"/>
        <w:rPr>
          <w:rFonts w:ascii="仿宋" w:hAnsi="仿宋" w:eastAsia="仿宋" w:cs="仿宋_GB2312"/>
          <w:b/>
          <w:sz w:val="28"/>
          <w:szCs w:val="28"/>
        </w:rPr>
      </w:pPr>
      <w:r>
        <w:rPr>
          <w:rFonts w:hint="eastAsia" w:ascii="仿宋" w:hAnsi="仿宋" w:eastAsia="仿宋" w:cs="仿宋_GB2312"/>
          <w:b/>
          <w:sz w:val="28"/>
          <w:szCs w:val="28"/>
        </w:rPr>
        <w:t>（二）专项资金审批流程不规范</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2020年8月13日记19号凭证，发放8月份分散特困人员供养资金321,948.00元，8月份集中特困人员供养资金34,373.00元，共计356,321.00元，《高邑县民政局专项资金审批表》无社会救助科科长签字。</w:t>
      </w:r>
    </w:p>
    <w:p>
      <w:pPr>
        <w:adjustRightInd w:val="0"/>
        <w:snapToGrid w:val="0"/>
        <w:spacing w:line="58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依据：《专项资金管理办法》三、严格专项资金初审、审核、审核制度，不准缺项和越程序办理手续，各类专项资金审批程序，以该专项资金审批表所列资料和文件要求为准。</w:t>
      </w:r>
    </w:p>
    <w:p>
      <w:pPr>
        <w:adjustRightInd w:val="0"/>
        <w:snapToGrid w:val="0"/>
        <w:spacing w:line="58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建议：制定专项资金审核制度，完善专项资金审批流程，各审批部门应严格执行《专项资金管理办法》的相关规定，严格审核并签字确认。</w:t>
      </w:r>
    </w:p>
    <w:p>
      <w:pPr>
        <w:adjustRightInd w:val="0"/>
        <w:snapToGrid w:val="0"/>
        <w:spacing w:line="580" w:lineRule="exact"/>
        <w:ind w:firstLine="560" w:firstLineChars="200"/>
        <w:rPr>
          <w:rFonts w:ascii="仿宋" w:hAnsi="仿宋" w:eastAsia="仿宋" w:cs="仿宋_GB2312"/>
          <w:sz w:val="28"/>
          <w:szCs w:val="28"/>
        </w:rPr>
      </w:pPr>
    </w:p>
    <w:p>
      <w:pPr>
        <w:adjustRightInd w:val="0"/>
        <w:snapToGrid w:val="0"/>
        <w:spacing w:line="580" w:lineRule="exact"/>
        <w:ind w:firstLine="560" w:firstLineChars="200"/>
        <w:rPr>
          <w:rFonts w:ascii="宋体" w:hAnsi="宋体" w:eastAsia="宋体" w:cs="Times New Roman"/>
          <w:color w:val="000000"/>
          <w:kern w:val="0"/>
          <w:sz w:val="24"/>
          <w:szCs w:val="24"/>
        </w:rPr>
      </w:pPr>
      <w:r>
        <w:rPr>
          <w:rFonts w:ascii="仿宋" w:hAnsi="仿宋" w:eastAsia="仿宋" w:cs="仿宋_GB2312"/>
          <w:sz w:val="28"/>
          <w:szCs w:val="28"/>
        </w:rPr>
        <w:t>附件</w:t>
      </w:r>
      <w:r>
        <w:rPr>
          <w:rFonts w:hint="eastAsia" w:ascii="仿宋" w:hAnsi="仿宋" w:eastAsia="仿宋" w:cs="仿宋_GB2312"/>
          <w:sz w:val="28"/>
          <w:szCs w:val="28"/>
        </w:rPr>
        <w:t>：2020年困难群众补助（抗疫特别国债资金）项</w:t>
      </w:r>
      <w:bookmarkStart w:id="0" w:name="_GoBack"/>
      <w:bookmarkEnd w:id="0"/>
      <w:r>
        <w:rPr>
          <w:rFonts w:hint="eastAsia" w:ascii="仿宋" w:hAnsi="仿宋" w:eastAsia="仿宋" w:cs="仿宋_GB2312"/>
          <w:sz w:val="28"/>
          <w:szCs w:val="28"/>
        </w:rPr>
        <w:t>目绩效评价评分表</w:t>
      </w:r>
    </w:p>
    <w:p>
      <w:pPr>
        <w:autoSpaceDE w:val="0"/>
        <w:autoSpaceDN w:val="0"/>
        <w:adjustRightInd w:val="0"/>
        <w:spacing w:line="480" w:lineRule="auto"/>
        <w:ind w:firstLine="480" w:firstLineChars="200"/>
        <w:jc w:val="left"/>
        <w:rPr>
          <w:rFonts w:hint="eastAsia" w:ascii="宋体" w:hAnsi="宋体" w:eastAsia="宋体" w:cs="Times New Roman"/>
          <w:color w:val="000000"/>
          <w:kern w:val="0"/>
          <w:sz w:val="24"/>
          <w:szCs w:val="24"/>
        </w:rPr>
      </w:pPr>
    </w:p>
    <w:p>
      <w:pPr>
        <w:autoSpaceDE w:val="0"/>
        <w:autoSpaceDN w:val="0"/>
        <w:adjustRightInd w:val="0"/>
        <w:spacing w:line="480" w:lineRule="auto"/>
        <w:ind w:firstLine="480" w:firstLineChars="200"/>
        <w:jc w:val="left"/>
        <w:rPr>
          <w:rFonts w:hint="eastAsia" w:ascii="宋体" w:hAnsi="宋体" w:eastAsia="宋体" w:cs="Times New Roman"/>
          <w:color w:val="000000"/>
          <w:kern w:val="0"/>
          <w:sz w:val="24"/>
          <w:szCs w:val="24"/>
        </w:rPr>
      </w:pPr>
    </w:p>
    <w:p>
      <w:pPr>
        <w:autoSpaceDE w:val="0"/>
        <w:autoSpaceDN w:val="0"/>
        <w:adjustRightInd w:val="0"/>
        <w:spacing w:line="480" w:lineRule="auto"/>
        <w:ind w:firstLine="480" w:firstLineChars="200"/>
        <w:jc w:val="left"/>
        <w:rPr>
          <w:rFonts w:ascii="宋体" w:hAnsi="宋体" w:eastAsia="宋体" w:cs="Times New Roman"/>
          <w:color w:val="000000"/>
          <w:kern w:val="0"/>
          <w:sz w:val="24"/>
          <w:szCs w:val="24"/>
        </w:rPr>
      </w:pPr>
    </w:p>
    <w:p>
      <w:pPr>
        <w:autoSpaceDE w:val="0"/>
        <w:autoSpaceDN w:val="0"/>
        <w:adjustRightInd w:val="0"/>
        <w:spacing w:line="480" w:lineRule="auto"/>
        <w:jc w:val="left"/>
        <w:rPr>
          <w:rFonts w:ascii="仿宋" w:hAnsi="仿宋" w:eastAsia="仿宋" w:cs="Times New Roman"/>
          <w:color w:val="000000"/>
          <w:kern w:val="0"/>
          <w:sz w:val="28"/>
          <w:szCs w:val="28"/>
        </w:rPr>
      </w:pPr>
      <w:r>
        <w:rPr>
          <w:rFonts w:hint="eastAsia" w:ascii="仿宋" w:hAnsi="仿宋" w:eastAsia="仿宋" w:cs="Times New Roman"/>
          <w:color w:val="000000"/>
          <w:kern w:val="0"/>
          <w:sz w:val="28"/>
          <w:szCs w:val="28"/>
        </w:rPr>
        <w:t>河北红日会计师事务所                中国注册会计师：</w:t>
      </w:r>
    </w:p>
    <w:p>
      <w:pPr>
        <w:autoSpaceDE w:val="0"/>
        <w:autoSpaceDN w:val="0"/>
        <w:adjustRightInd w:val="0"/>
        <w:spacing w:line="480" w:lineRule="auto"/>
        <w:ind w:firstLine="700" w:firstLineChars="250"/>
        <w:jc w:val="left"/>
        <w:rPr>
          <w:rFonts w:ascii="仿宋" w:hAnsi="仿宋" w:eastAsia="仿宋" w:cs="Times New Roman"/>
          <w:color w:val="000000"/>
          <w:kern w:val="0"/>
          <w:sz w:val="28"/>
          <w:szCs w:val="28"/>
        </w:rPr>
      </w:pPr>
      <w:r>
        <w:rPr>
          <w:rFonts w:hint="eastAsia" w:ascii="仿宋" w:hAnsi="仿宋" w:eastAsia="仿宋" w:cs="Times New Roman"/>
          <w:color w:val="000000"/>
          <w:kern w:val="0"/>
          <w:sz w:val="28"/>
          <w:szCs w:val="28"/>
        </w:rPr>
        <w:t>有限公司                      （签名并盖章）</w:t>
      </w:r>
    </w:p>
    <w:p>
      <w:pPr>
        <w:autoSpaceDE w:val="0"/>
        <w:autoSpaceDN w:val="0"/>
        <w:adjustRightInd w:val="0"/>
        <w:spacing w:line="480" w:lineRule="auto"/>
        <w:ind w:firstLine="840" w:firstLineChars="300"/>
        <w:jc w:val="left"/>
        <w:rPr>
          <w:rFonts w:ascii="仿宋" w:hAnsi="仿宋" w:eastAsia="仿宋" w:cs="Times New Roman"/>
          <w:color w:val="000000"/>
          <w:kern w:val="0"/>
          <w:sz w:val="28"/>
          <w:szCs w:val="28"/>
        </w:rPr>
      </w:pPr>
      <w:r>
        <w:rPr>
          <w:rFonts w:hint="eastAsia" w:ascii="仿宋" w:hAnsi="仿宋" w:eastAsia="仿宋" w:cs="Times New Roman"/>
          <w:color w:val="000000"/>
          <w:kern w:val="0"/>
          <w:sz w:val="28"/>
          <w:szCs w:val="28"/>
        </w:rPr>
        <w:t>(公章)                        中国注册会计师：</w:t>
      </w:r>
    </w:p>
    <w:p>
      <w:pPr>
        <w:autoSpaceDE w:val="0"/>
        <w:autoSpaceDN w:val="0"/>
        <w:adjustRightInd w:val="0"/>
        <w:spacing w:line="480" w:lineRule="auto"/>
        <w:ind w:firstLine="4900" w:firstLineChars="1750"/>
        <w:jc w:val="left"/>
        <w:rPr>
          <w:rFonts w:hint="eastAsia" w:ascii="仿宋" w:hAnsi="仿宋" w:eastAsia="仿宋" w:cs="Times New Roman"/>
          <w:color w:val="000000"/>
          <w:kern w:val="0"/>
          <w:sz w:val="28"/>
          <w:szCs w:val="28"/>
        </w:rPr>
      </w:pPr>
      <w:r>
        <w:rPr>
          <w:rFonts w:hint="eastAsia" w:ascii="仿宋" w:hAnsi="仿宋" w:eastAsia="仿宋" w:cs="Times New Roman"/>
          <w:color w:val="000000"/>
          <w:kern w:val="0"/>
          <w:sz w:val="28"/>
          <w:szCs w:val="28"/>
        </w:rPr>
        <w:t>（签名并盖章）</w:t>
      </w:r>
    </w:p>
    <w:p>
      <w:pPr>
        <w:tabs>
          <w:tab w:val="left" w:pos="5103"/>
        </w:tabs>
        <w:autoSpaceDE w:val="0"/>
        <w:autoSpaceDN w:val="0"/>
        <w:adjustRightInd w:val="0"/>
        <w:spacing w:line="480" w:lineRule="auto"/>
        <w:ind w:firstLine="280" w:firstLineChars="100"/>
        <w:jc w:val="left"/>
        <w:rPr>
          <w:rFonts w:ascii="仿宋" w:hAnsi="仿宋" w:eastAsia="仿宋" w:cs="Times New Roman"/>
          <w:color w:val="000000"/>
          <w:kern w:val="0"/>
          <w:sz w:val="28"/>
          <w:szCs w:val="28"/>
        </w:rPr>
      </w:pPr>
      <w:r>
        <w:rPr>
          <w:rFonts w:hint="eastAsia" w:ascii="仿宋" w:hAnsi="仿宋" w:eastAsia="仿宋" w:cs="Times New Roman"/>
          <w:color w:val="000000"/>
          <w:kern w:val="0"/>
          <w:sz w:val="28"/>
          <w:szCs w:val="28"/>
        </w:rPr>
        <w:t>中国·石家庄市                     2021</w:t>
      </w:r>
      <w:r>
        <w:rPr>
          <w:rFonts w:hint="eastAsia" w:ascii="仿宋" w:hAnsi="仿宋" w:eastAsia="仿宋" w:cs="Times New Roman"/>
          <w:color w:val="000000"/>
          <w:kern w:val="0"/>
          <w:sz w:val="28"/>
          <w:szCs w:val="28"/>
          <w:highlight w:val="none"/>
        </w:rPr>
        <w:t>年</w:t>
      </w:r>
      <w:r>
        <w:rPr>
          <w:rFonts w:hint="eastAsia" w:ascii="仿宋" w:hAnsi="仿宋" w:eastAsia="仿宋" w:cs="Times New Roman"/>
          <w:color w:val="000000"/>
          <w:kern w:val="0"/>
          <w:sz w:val="28"/>
          <w:szCs w:val="28"/>
          <w:highlight w:val="none"/>
          <w:lang w:val="en-US" w:eastAsia="zh-CN"/>
        </w:rPr>
        <w:t>10</w:t>
      </w:r>
      <w:r>
        <w:rPr>
          <w:rFonts w:hint="eastAsia" w:ascii="仿宋" w:hAnsi="仿宋" w:eastAsia="仿宋" w:cs="Times New Roman"/>
          <w:color w:val="000000"/>
          <w:kern w:val="0"/>
          <w:sz w:val="28"/>
          <w:szCs w:val="28"/>
          <w:highlight w:val="none"/>
        </w:rPr>
        <w:t>月</w:t>
      </w:r>
      <w:r>
        <w:rPr>
          <w:rFonts w:hint="eastAsia" w:ascii="仿宋" w:hAnsi="仿宋" w:eastAsia="仿宋" w:cs="Times New Roman"/>
          <w:color w:val="000000"/>
          <w:kern w:val="0"/>
          <w:sz w:val="28"/>
          <w:szCs w:val="28"/>
          <w:highlight w:val="none"/>
          <w:lang w:val="en-US" w:eastAsia="zh-CN"/>
        </w:rPr>
        <w:t>21</w:t>
      </w:r>
      <w:r>
        <w:rPr>
          <w:rFonts w:hint="eastAsia" w:ascii="仿宋" w:hAnsi="仿宋" w:eastAsia="仿宋" w:cs="Times New Roman"/>
          <w:color w:val="000000"/>
          <w:kern w:val="0"/>
          <w:sz w:val="28"/>
          <w:szCs w:val="28"/>
          <w:highlight w:val="none"/>
        </w:rPr>
        <w:t>日</w:t>
      </w: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48631412"/>
    </w:sdtPr>
    <w:sdtContent>
      <w:p>
        <w:pPr>
          <w:pStyle w:val="4"/>
          <w:jc w:val="center"/>
        </w:pPr>
        <w:r>
          <w:fldChar w:fldCharType="begin"/>
        </w:r>
        <w:r>
          <w:instrText xml:space="preserve">PAGE   \* MERGEFORMAT</w:instrText>
        </w:r>
        <w:r>
          <w:fldChar w:fldCharType="separate"/>
        </w:r>
        <w:r>
          <w:rPr>
            <w:lang w:val="zh-CN"/>
          </w:rPr>
          <w:t>10</w:t>
        </w:r>
        <w:r>
          <w:fldChar w:fldCharType="end"/>
        </w:r>
      </w:p>
    </w:sdtContent>
  </w:sdt>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single" w:color="auto" w:sz="6" w:space="1"/>
      </w:pBdr>
      <w:tabs>
        <w:tab w:val="center" w:pos="4153"/>
        <w:tab w:val="right" w:pos="8306"/>
      </w:tabs>
      <w:snapToGrid w:val="0"/>
      <w:rPr>
        <w:rFonts w:ascii="Times New Roman" w:hAnsi="Times New Roman" w:eastAsia="宋体" w:cs="Times New Roman"/>
        <w:iCs/>
        <w:sz w:val="18"/>
        <w:szCs w:val="18"/>
      </w:rPr>
    </w:pPr>
    <w:r>
      <w:rPr>
        <w:rFonts w:hint="eastAsia" w:ascii="Times New Roman" w:hAnsi="Times New Roman" w:eastAsia="宋体" w:cs="Times New Roman"/>
        <w:iCs/>
        <w:sz w:val="18"/>
        <w:szCs w:val="18"/>
      </w:rPr>
      <w:t xml:space="preserve">河北红日会计师事务所有限公司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B80249C"/>
    <w:multiLevelType w:val="multilevel"/>
    <w:tmpl w:val="4B80249C"/>
    <w:lvl w:ilvl="0" w:tentative="0">
      <w:start w:val="1"/>
      <w:numFmt w:val="japaneseCounting"/>
      <w:lvlText w:val="%1、"/>
      <w:lvlJc w:val="left"/>
      <w:pPr>
        <w:ind w:left="5682" w:hanging="720"/>
      </w:pPr>
      <w:rPr>
        <w:rFonts w:hint="default"/>
      </w:rPr>
    </w:lvl>
    <w:lvl w:ilvl="1" w:tentative="0">
      <w:start w:val="1"/>
      <w:numFmt w:val="lowerLetter"/>
      <w:lvlText w:val="%2)"/>
      <w:lvlJc w:val="left"/>
      <w:pPr>
        <w:ind w:left="5802" w:hanging="420"/>
      </w:pPr>
    </w:lvl>
    <w:lvl w:ilvl="2" w:tentative="0">
      <w:start w:val="1"/>
      <w:numFmt w:val="lowerRoman"/>
      <w:lvlText w:val="%3."/>
      <w:lvlJc w:val="right"/>
      <w:pPr>
        <w:ind w:left="6222" w:hanging="420"/>
      </w:pPr>
    </w:lvl>
    <w:lvl w:ilvl="3" w:tentative="0">
      <w:start w:val="1"/>
      <w:numFmt w:val="decimal"/>
      <w:lvlText w:val="%4."/>
      <w:lvlJc w:val="left"/>
      <w:pPr>
        <w:ind w:left="6642" w:hanging="420"/>
      </w:pPr>
    </w:lvl>
    <w:lvl w:ilvl="4" w:tentative="0">
      <w:start w:val="1"/>
      <w:numFmt w:val="lowerLetter"/>
      <w:lvlText w:val="%5)"/>
      <w:lvlJc w:val="left"/>
      <w:pPr>
        <w:ind w:left="7062" w:hanging="420"/>
      </w:pPr>
    </w:lvl>
    <w:lvl w:ilvl="5" w:tentative="0">
      <w:start w:val="1"/>
      <w:numFmt w:val="lowerRoman"/>
      <w:lvlText w:val="%6."/>
      <w:lvlJc w:val="right"/>
      <w:pPr>
        <w:ind w:left="7482" w:hanging="420"/>
      </w:pPr>
    </w:lvl>
    <w:lvl w:ilvl="6" w:tentative="0">
      <w:start w:val="1"/>
      <w:numFmt w:val="decimal"/>
      <w:lvlText w:val="%7."/>
      <w:lvlJc w:val="left"/>
      <w:pPr>
        <w:ind w:left="7902" w:hanging="420"/>
      </w:pPr>
    </w:lvl>
    <w:lvl w:ilvl="7" w:tentative="0">
      <w:start w:val="1"/>
      <w:numFmt w:val="lowerLetter"/>
      <w:lvlText w:val="%8)"/>
      <w:lvlJc w:val="left"/>
      <w:pPr>
        <w:ind w:left="8322" w:hanging="420"/>
      </w:pPr>
    </w:lvl>
    <w:lvl w:ilvl="8" w:tentative="0">
      <w:start w:val="1"/>
      <w:numFmt w:val="lowerRoman"/>
      <w:lvlText w:val="%9."/>
      <w:lvlJc w:val="right"/>
      <w:pPr>
        <w:ind w:left="8742"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641E"/>
    <w:rsid w:val="00000C94"/>
    <w:rsid w:val="00002BF8"/>
    <w:rsid w:val="00002EE0"/>
    <w:rsid w:val="00010B9C"/>
    <w:rsid w:val="00011C9C"/>
    <w:rsid w:val="00012408"/>
    <w:rsid w:val="00013961"/>
    <w:rsid w:val="00014CE2"/>
    <w:rsid w:val="00015D5F"/>
    <w:rsid w:val="00020771"/>
    <w:rsid w:val="00023F9B"/>
    <w:rsid w:val="000240DF"/>
    <w:rsid w:val="00025A83"/>
    <w:rsid w:val="000265D8"/>
    <w:rsid w:val="00027D0E"/>
    <w:rsid w:val="00030811"/>
    <w:rsid w:val="00031CB7"/>
    <w:rsid w:val="000358A7"/>
    <w:rsid w:val="00037868"/>
    <w:rsid w:val="0004157C"/>
    <w:rsid w:val="0004342C"/>
    <w:rsid w:val="0004561B"/>
    <w:rsid w:val="000571DE"/>
    <w:rsid w:val="00060B0D"/>
    <w:rsid w:val="000627EE"/>
    <w:rsid w:val="000655F7"/>
    <w:rsid w:val="00067182"/>
    <w:rsid w:val="00071111"/>
    <w:rsid w:val="000716F2"/>
    <w:rsid w:val="00082C2A"/>
    <w:rsid w:val="00084A61"/>
    <w:rsid w:val="00084BE8"/>
    <w:rsid w:val="00092328"/>
    <w:rsid w:val="00092F85"/>
    <w:rsid w:val="000A46DF"/>
    <w:rsid w:val="000A4BDB"/>
    <w:rsid w:val="000A6A23"/>
    <w:rsid w:val="000B02D9"/>
    <w:rsid w:val="000B1106"/>
    <w:rsid w:val="000B33BF"/>
    <w:rsid w:val="000B38C5"/>
    <w:rsid w:val="000B41B5"/>
    <w:rsid w:val="000B485F"/>
    <w:rsid w:val="000B5086"/>
    <w:rsid w:val="000B783C"/>
    <w:rsid w:val="000C00B4"/>
    <w:rsid w:val="000C4A09"/>
    <w:rsid w:val="000C523C"/>
    <w:rsid w:val="000C5F3A"/>
    <w:rsid w:val="000D0896"/>
    <w:rsid w:val="000D7824"/>
    <w:rsid w:val="000E5AFC"/>
    <w:rsid w:val="000E6CDB"/>
    <w:rsid w:val="000F099A"/>
    <w:rsid w:val="000F35DA"/>
    <w:rsid w:val="000F511E"/>
    <w:rsid w:val="000F79BD"/>
    <w:rsid w:val="001011D5"/>
    <w:rsid w:val="001016C8"/>
    <w:rsid w:val="00101AB8"/>
    <w:rsid w:val="001045EE"/>
    <w:rsid w:val="001067FF"/>
    <w:rsid w:val="00114513"/>
    <w:rsid w:val="00114674"/>
    <w:rsid w:val="00122D13"/>
    <w:rsid w:val="00130D80"/>
    <w:rsid w:val="001335EA"/>
    <w:rsid w:val="001352A3"/>
    <w:rsid w:val="00136059"/>
    <w:rsid w:val="00141516"/>
    <w:rsid w:val="00141B55"/>
    <w:rsid w:val="001431DB"/>
    <w:rsid w:val="00144B4D"/>
    <w:rsid w:val="00147EFA"/>
    <w:rsid w:val="00151466"/>
    <w:rsid w:val="00162319"/>
    <w:rsid w:val="00162CEB"/>
    <w:rsid w:val="00165AE3"/>
    <w:rsid w:val="00170C8A"/>
    <w:rsid w:val="001721FD"/>
    <w:rsid w:val="0017268F"/>
    <w:rsid w:val="00174E0D"/>
    <w:rsid w:val="0017596B"/>
    <w:rsid w:val="001819C1"/>
    <w:rsid w:val="00181A9F"/>
    <w:rsid w:val="00184F54"/>
    <w:rsid w:val="001853E4"/>
    <w:rsid w:val="00185474"/>
    <w:rsid w:val="00193C3B"/>
    <w:rsid w:val="00195D86"/>
    <w:rsid w:val="001A1415"/>
    <w:rsid w:val="001A7236"/>
    <w:rsid w:val="001B0C00"/>
    <w:rsid w:val="001B0CF0"/>
    <w:rsid w:val="001B1FD7"/>
    <w:rsid w:val="001B2E7C"/>
    <w:rsid w:val="001B5AD8"/>
    <w:rsid w:val="001B6165"/>
    <w:rsid w:val="001B6B31"/>
    <w:rsid w:val="001B6C3A"/>
    <w:rsid w:val="001B74BD"/>
    <w:rsid w:val="001C09AE"/>
    <w:rsid w:val="001C0F4D"/>
    <w:rsid w:val="001C221B"/>
    <w:rsid w:val="001C2220"/>
    <w:rsid w:val="001C2C47"/>
    <w:rsid w:val="001C6999"/>
    <w:rsid w:val="001C6D21"/>
    <w:rsid w:val="001C7761"/>
    <w:rsid w:val="001D1B03"/>
    <w:rsid w:val="001D2134"/>
    <w:rsid w:val="001D2F38"/>
    <w:rsid w:val="001D5347"/>
    <w:rsid w:val="001D716A"/>
    <w:rsid w:val="001E27ED"/>
    <w:rsid w:val="001E2925"/>
    <w:rsid w:val="001E3948"/>
    <w:rsid w:val="001E6895"/>
    <w:rsid w:val="001F2141"/>
    <w:rsid w:val="001F333B"/>
    <w:rsid w:val="001F5934"/>
    <w:rsid w:val="001F6E1D"/>
    <w:rsid w:val="001F6F69"/>
    <w:rsid w:val="00202B63"/>
    <w:rsid w:val="002054AC"/>
    <w:rsid w:val="002064B9"/>
    <w:rsid w:val="00206B1E"/>
    <w:rsid w:val="0021182C"/>
    <w:rsid w:val="00212007"/>
    <w:rsid w:val="00216C01"/>
    <w:rsid w:val="00220464"/>
    <w:rsid w:val="00222057"/>
    <w:rsid w:val="002229EC"/>
    <w:rsid w:val="0022462F"/>
    <w:rsid w:val="00226573"/>
    <w:rsid w:val="002272B0"/>
    <w:rsid w:val="002278ED"/>
    <w:rsid w:val="00232466"/>
    <w:rsid w:val="0023595C"/>
    <w:rsid w:val="00235D13"/>
    <w:rsid w:val="00236386"/>
    <w:rsid w:val="00241346"/>
    <w:rsid w:val="00241B25"/>
    <w:rsid w:val="0024224F"/>
    <w:rsid w:val="0024387C"/>
    <w:rsid w:val="00246BF2"/>
    <w:rsid w:val="00246E8C"/>
    <w:rsid w:val="00246F2B"/>
    <w:rsid w:val="00257855"/>
    <w:rsid w:val="00260CFC"/>
    <w:rsid w:val="00262F33"/>
    <w:rsid w:val="002658B5"/>
    <w:rsid w:val="00266A2E"/>
    <w:rsid w:val="00272B80"/>
    <w:rsid w:val="00272E49"/>
    <w:rsid w:val="00274647"/>
    <w:rsid w:val="00280110"/>
    <w:rsid w:val="002809B9"/>
    <w:rsid w:val="0028518E"/>
    <w:rsid w:val="00285DC3"/>
    <w:rsid w:val="00286D8D"/>
    <w:rsid w:val="002903C0"/>
    <w:rsid w:val="002A3203"/>
    <w:rsid w:val="002A3B12"/>
    <w:rsid w:val="002B4384"/>
    <w:rsid w:val="002B6706"/>
    <w:rsid w:val="002C124F"/>
    <w:rsid w:val="002C1D26"/>
    <w:rsid w:val="002C413C"/>
    <w:rsid w:val="002C4383"/>
    <w:rsid w:val="002C748E"/>
    <w:rsid w:val="002C778E"/>
    <w:rsid w:val="002D157F"/>
    <w:rsid w:val="002D1A80"/>
    <w:rsid w:val="002E3EF3"/>
    <w:rsid w:val="002E5F37"/>
    <w:rsid w:val="002F0F07"/>
    <w:rsid w:val="002F170B"/>
    <w:rsid w:val="002F3551"/>
    <w:rsid w:val="002F5629"/>
    <w:rsid w:val="002F5A91"/>
    <w:rsid w:val="002F7FCB"/>
    <w:rsid w:val="00300875"/>
    <w:rsid w:val="00302406"/>
    <w:rsid w:val="003052B8"/>
    <w:rsid w:val="00305A8F"/>
    <w:rsid w:val="003063C6"/>
    <w:rsid w:val="00306660"/>
    <w:rsid w:val="00310B70"/>
    <w:rsid w:val="00312AF0"/>
    <w:rsid w:val="00314183"/>
    <w:rsid w:val="00315820"/>
    <w:rsid w:val="003220C7"/>
    <w:rsid w:val="00322F88"/>
    <w:rsid w:val="003230DB"/>
    <w:rsid w:val="003267C0"/>
    <w:rsid w:val="00327754"/>
    <w:rsid w:val="00327AD9"/>
    <w:rsid w:val="00331D1A"/>
    <w:rsid w:val="00333E0C"/>
    <w:rsid w:val="003353D8"/>
    <w:rsid w:val="003404C3"/>
    <w:rsid w:val="0034598F"/>
    <w:rsid w:val="003515DF"/>
    <w:rsid w:val="003544D8"/>
    <w:rsid w:val="0035716F"/>
    <w:rsid w:val="0035784C"/>
    <w:rsid w:val="003610AF"/>
    <w:rsid w:val="00361DEF"/>
    <w:rsid w:val="00364280"/>
    <w:rsid w:val="00365DC2"/>
    <w:rsid w:val="00365FB8"/>
    <w:rsid w:val="00366666"/>
    <w:rsid w:val="003674F8"/>
    <w:rsid w:val="00372BA6"/>
    <w:rsid w:val="00374B80"/>
    <w:rsid w:val="003766B7"/>
    <w:rsid w:val="00376825"/>
    <w:rsid w:val="00376AD7"/>
    <w:rsid w:val="00377CF4"/>
    <w:rsid w:val="003809AF"/>
    <w:rsid w:val="00381916"/>
    <w:rsid w:val="00385489"/>
    <w:rsid w:val="00386A04"/>
    <w:rsid w:val="00387811"/>
    <w:rsid w:val="00396F8A"/>
    <w:rsid w:val="003A2453"/>
    <w:rsid w:val="003A3DB3"/>
    <w:rsid w:val="003A409D"/>
    <w:rsid w:val="003A58DF"/>
    <w:rsid w:val="003A5E64"/>
    <w:rsid w:val="003B01B8"/>
    <w:rsid w:val="003B04B1"/>
    <w:rsid w:val="003B41A9"/>
    <w:rsid w:val="003B4A40"/>
    <w:rsid w:val="003B5A71"/>
    <w:rsid w:val="003C1C41"/>
    <w:rsid w:val="003C1E32"/>
    <w:rsid w:val="003C3C9A"/>
    <w:rsid w:val="003C74E3"/>
    <w:rsid w:val="003D18D7"/>
    <w:rsid w:val="003D26DB"/>
    <w:rsid w:val="003D66C5"/>
    <w:rsid w:val="003E4312"/>
    <w:rsid w:val="003E6B17"/>
    <w:rsid w:val="003F38B8"/>
    <w:rsid w:val="003F4AB3"/>
    <w:rsid w:val="003F6569"/>
    <w:rsid w:val="003F72B0"/>
    <w:rsid w:val="00400DA7"/>
    <w:rsid w:val="0040144A"/>
    <w:rsid w:val="00402AD1"/>
    <w:rsid w:val="00406694"/>
    <w:rsid w:val="0040692B"/>
    <w:rsid w:val="00410EBB"/>
    <w:rsid w:val="004222ED"/>
    <w:rsid w:val="00423CF2"/>
    <w:rsid w:val="00424D96"/>
    <w:rsid w:val="00425841"/>
    <w:rsid w:val="00426635"/>
    <w:rsid w:val="00426FB6"/>
    <w:rsid w:val="00427B46"/>
    <w:rsid w:val="0043137E"/>
    <w:rsid w:val="004329CC"/>
    <w:rsid w:val="00433DAC"/>
    <w:rsid w:val="00436955"/>
    <w:rsid w:val="004370C6"/>
    <w:rsid w:val="00444463"/>
    <w:rsid w:val="00450125"/>
    <w:rsid w:val="004663F1"/>
    <w:rsid w:val="00466E87"/>
    <w:rsid w:val="00467296"/>
    <w:rsid w:val="00470A40"/>
    <w:rsid w:val="004717F0"/>
    <w:rsid w:val="00475EAD"/>
    <w:rsid w:val="004776A8"/>
    <w:rsid w:val="004805BE"/>
    <w:rsid w:val="00481688"/>
    <w:rsid w:val="0048574D"/>
    <w:rsid w:val="00486892"/>
    <w:rsid w:val="00491BD1"/>
    <w:rsid w:val="00493564"/>
    <w:rsid w:val="004A0421"/>
    <w:rsid w:val="004A553E"/>
    <w:rsid w:val="004A5DAC"/>
    <w:rsid w:val="004A7ABE"/>
    <w:rsid w:val="004B3DB7"/>
    <w:rsid w:val="004C18B1"/>
    <w:rsid w:val="004C1EC3"/>
    <w:rsid w:val="004C415F"/>
    <w:rsid w:val="004C42DF"/>
    <w:rsid w:val="004C4934"/>
    <w:rsid w:val="004C4E8F"/>
    <w:rsid w:val="004C637C"/>
    <w:rsid w:val="004C6C5E"/>
    <w:rsid w:val="004C6CC8"/>
    <w:rsid w:val="004D24C6"/>
    <w:rsid w:val="004D767B"/>
    <w:rsid w:val="004D7B3B"/>
    <w:rsid w:val="004E5C38"/>
    <w:rsid w:val="004E620E"/>
    <w:rsid w:val="004E7626"/>
    <w:rsid w:val="004F01EF"/>
    <w:rsid w:val="004F3DFB"/>
    <w:rsid w:val="004F51DE"/>
    <w:rsid w:val="004F6A23"/>
    <w:rsid w:val="004F6F36"/>
    <w:rsid w:val="00500020"/>
    <w:rsid w:val="0050231C"/>
    <w:rsid w:val="0050430A"/>
    <w:rsid w:val="005108AF"/>
    <w:rsid w:val="0051189A"/>
    <w:rsid w:val="0051641E"/>
    <w:rsid w:val="00517598"/>
    <w:rsid w:val="00523BAB"/>
    <w:rsid w:val="00526783"/>
    <w:rsid w:val="00531502"/>
    <w:rsid w:val="005315EC"/>
    <w:rsid w:val="00532285"/>
    <w:rsid w:val="00533184"/>
    <w:rsid w:val="00534BAB"/>
    <w:rsid w:val="00537623"/>
    <w:rsid w:val="00540874"/>
    <w:rsid w:val="00540B7F"/>
    <w:rsid w:val="00546C6E"/>
    <w:rsid w:val="005536A9"/>
    <w:rsid w:val="005540AE"/>
    <w:rsid w:val="0055449C"/>
    <w:rsid w:val="00555028"/>
    <w:rsid w:val="0055540B"/>
    <w:rsid w:val="00555553"/>
    <w:rsid w:val="00560DFC"/>
    <w:rsid w:val="00560F0E"/>
    <w:rsid w:val="005621ED"/>
    <w:rsid w:val="00562B50"/>
    <w:rsid w:val="00563560"/>
    <w:rsid w:val="00563C27"/>
    <w:rsid w:val="00564B14"/>
    <w:rsid w:val="00566CF1"/>
    <w:rsid w:val="00566F23"/>
    <w:rsid w:val="00573738"/>
    <w:rsid w:val="00581743"/>
    <w:rsid w:val="005820C4"/>
    <w:rsid w:val="005834B3"/>
    <w:rsid w:val="005856EC"/>
    <w:rsid w:val="00590E7E"/>
    <w:rsid w:val="00591200"/>
    <w:rsid w:val="00595D71"/>
    <w:rsid w:val="005A12EE"/>
    <w:rsid w:val="005A16CA"/>
    <w:rsid w:val="005A1804"/>
    <w:rsid w:val="005A2525"/>
    <w:rsid w:val="005A4229"/>
    <w:rsid w:val="005A5646"/>
    <w:rsid w:val="005A655D"/>
    <w:rsid w:val="005A75E0"/>
    <w:rsid w:val="005B32D0"/>
    <w:rsid w:val="005B3AD8"/>
    <w:rsid w:val="005B4C49"/>
    <w:rsid w:val="005C1EDC"/>
    <w:rsid w:val="005C27B2"/>
    <w:rsid w:val="005C41E9"/>
    <w:rsid w:val="005C6988"/>
    <w:rsid w:val="005D0C0D"/>
    <w:rsid w:val="005D114D"/>
    <w:rsid w:val="005D2873"/>
    <w:rsid w:val="005D595D"/>
    <w:rsid w:val="005E3624"/>
    <w:rsid w:val="005E4C6A"/>
    <w:rsid w:val="005E6C67"/>
    <w:rsid w:val="005E722D"/>
    <w:rsid w:val="005F0AD0"/>
    <w:rsid w:val="005F15C1"/>
    <w:rsid w:val="005F6E40"/>
    <w:rsid w:val="00601E5B"/>
    <w:rsid w:val="00604EC4"/>
    <w:rsid w:val="006050E5"/>
    <w:rsid w:val="00606088"/>
    <w:rsid w:val="006071C0"/>
    <w:rsid w:val="006072A2"/>
    <w:rsid w:val="00612CE3"/>
    <w:rsid w:val="00615CCB"/>
    <w:rsid w:val="006226A0"/>
    <w:rsid w:val="00627D80"/>
    <w:rsid w:val="006312EF"/>
    <w:rsid w:val="006342E1"/>
    <w:rsid w:val="006346A2"/>
    <w:rsid w:val="00642641"/>
    <w:rsid w:val="006434D6"/>
    <w:rsid w:val="00646530"/>
    <w:rsid w:val="00647575"/>
    <w:rsid w:val="00656FE9"/>
    <w:rsid w:val="00657310"/>
    <w:rsid w:val="006620D5"/>
    <w:rsid w:val="00664374"/>
    <w:rsid w:val="006646B1"/>
    <w:rsid w:val="00665577"/>
    <w:rsid w:val="0066646D"/>
    <w:rsid w:val="00667845"/>
    <w:rsid w:val="00670017"/>
    <w:rsid w:val="006723D7"/>
    <w:rsid w:val="00673DE2"/>
    <w:rsid w:val="006748C9"/>
    <w:rsid w:val="006806B3"/>
    <w:rsid w:val="00682696"/>
    <w:rsid w:val="00682C68"/>
    <w:rsid w:val="00682D2B"/>
    <w:rsid w:val="006831C3"/>
    <w:rsid w:val="006837FC"/>
    <w:rsid w:val="00683E81"/>
    <w:rsid w:val="00684631"/>
    <w:rsid w:val="0068616A"/>
    <w:rsid w:val="00690234"/>
    <w:rsid w:val="00692C95"/>
    <w:rsid w:val="006930C9"/>
    <w:rsid w:val="006933C6"/>
    <w:rsid w:val="006952EB"/>
    <w:rsid w:val="006956AD"/>
    <w:rsid w:val="00697B4E"/>
    <w:rsid w:val="00697BAF"/>
    <w:rsid w:val="00697EB7"/>
    <w:rsid w:val="006A3154"/>
    <w:rsid w:val="006A419C"/>
    <w:rsid w:val="006A5F47"/>
    <w:rsid w:val="006A7BFE"/>
    <w:rsid w:val="006B108A"/>
    <w:rsid w:val="006B4834"/>
    <w:rsid w:val="006B7338"/>
    <w:rsid w:val="006B7801"/>
    <w:rsid w:val="006C251E"/>
    <w:rsid w:val="006C3CBE"/>
    <w:rsid w:val="006C7FFA"/>
    <w:rsid w:val="006D1278"/>
    <w:rsid w:val="006D606D"/>
    <w:rsid w:val="006D61C4"/>
    <w:rsid w:val="006E02DF"/>
    <w:rsid w:val="006E0569"/>
    <w:rsid w:val="006E1FBD"/>
    <w:rsid w:val="006E2C4C"/>
    <w:rsid w:val="006E3142"/>
    <w:rsid w:val="006E4557"/>
    <w:rsid w:val="006E6447"/>
    <w:rsid w:val="006F115B"/>
    <w:rsid w:val="006F2B6A"/>
    <w:rsid w:val="006F331E"/>
    <w:rsid w:val="00702623"/>
    <w:rsid w:val="00706547"/>
    <w:rsid w:val="00710B14"/>
    <w:rsid w:val="00717B1A"/>
    <w:rsid w:val="007206B9"/>
    <w:rsid w:val="0072117A"/>
    <w:rsid w:val="00723177"/>
    <w:rsid w:val="00723BFA"/>
    <w:rsid w:val="00723DD2"/>
    <w:rsid w:val="00724117"/>
    <w:rsid w:val="0072420B"/>
    <w:rsid w:val="0072438C"/>
    <w:rsid w:val="0073148F"/>
    <w:rsid w:val="0073383B"/>
    <w:rsid w:val="00742DC2"/>
    <w:rsid w:val="00743FBB"/>
    <w:rsid w:val="00745F37"/>
    <w:rsid w:val="00746BAE"/>
    <w:rsid w:val="00746C04"/>
    <w:rsid w:val="0075075C"/>
    <w:rsid w:val="00752225"/>
    <w:rsid w:val="00753757"/>
    <w:rsid w:val="007539D5"/>
    <w:rsid w:val="007542CE"/>
    <w:rsid w:val="00754793"/>
    <w:rsid w:val="00754EC1"/>
    <w:rsid w:val="007568ED"/>
    <w:rsid w:val="00760524"/>
    <w:rsid w:val="00763974"/>
    <w:rsid w:val="007640E7"/>
    <w:rsid w:val="0076479D"/>
    <w:rsid w:val="007657FE"/>
    <w:rsid w:val="00765DA1"/>
    <w:rsid w:val="007725D5"/>
    <w:rsid w:val="00772743"/>
    <w:rsid w:val="00773594"/>
    <w:rsid w:val="00774E4C"/>
    <w:rsid w:val="00776898"/>
    <w:rsid w:val="00782A52"/>
    <w:rsid w:val="00782FA6"/>
    <w:rsid w:val="00794D4A"/>
    <w:rsid w:val="007A0B3E"/>
    <w:rsid w:val="007A2091"/>
    <w:rsid w:val="007A45B2"/>
    <w:rsid w:val="007A4CA5"/>
    <w:rsid w:val="007A58A3"/>
    <w:rsid w:val="007B03C2"/>
    <w:rsid w:val="007B2682"/>
    <w:rsid w:val="007B4E9A"/>
    <w:rsid w:val="007B60C8"/>
    <w:rsid w:val="007C3175"/>
    <w:rsid w:val="007C37C9"/>
    <w:rsid w:val="007C38DA"/>
    <w:rsid w:val="007C4049"/>
    <w:rsid w:val="007D40C1"/>
    <w:rsid w:val="007D4D40"/>
    <w:rsid w:val="007D5680"/>
    <w:rsid w:val="007D7AFE"/>
    <w:rsid w:val="007D7B06"/>
    <w:rsid w:val="007D7CCA"/>
    <w:rsid w:val="007E2923"/>
    <w:rsid w:val="007E68CB"/>
    <w:rsid w:val="007E7CAA"/>
    <w:rsid w:val="007E7FA6"/>
    <w:rsid w:val="007F12D1"/>
    <w:rsid w:val="007F33CC"/>
    <w:rsid w:val="007F7172"/>
    <w:rsid w:val="007F75B9"/>
    <w:rsid w:val="00800312"/>
    <w:rsid w:val="00802A75"/>
    <w:rsid w:val="00806AC9"/>
    <w:rsid w:val="00813BD0"/>
    <w:rsid w:val="00814C40"/>
    <w:rsid w:val="00814E5E"/>
    <w:rsid w:val="0081515F"/>
    <w:rsid w:val="00815F4F"/>
    <w:rsid w:val="00822AF9"/>
    <w:rsid w:val="00830DC8"/>
    <w:rsid w:val="0083106F"/>
    <w:rsid w:val="00833CF1"/>
    <w:rsid w:val="00834221"/>
    <w:rsid w:val="00836AF8"/>
    <w:rsid w:val="008405F8"/>
    <w:rsid w:val="00840984"/>
    <w:rsid w:val="008420F3"/>
    <w:rsid w:val="00845F1E"/>
    <w:rsid w:val="00846B47"/>
    <w:rsid w:val="00850E26"/>
    <w:rsid w:val="0085155D"/>
    <w:rsid w:val="00852602"/>
    <w:rsid w:val="00856049"/>
    <w:rsid w:val="008621EE"/>
    <w:rsid w:val="00863EC2"/>
    <w:rsid w:val="00864261"/>
    <w:rsid w:val="00874E39"/>
    <w:rsid w:val="00876E6E"/>
    <w:rsid w:val="008774A0"/>
    <w:rsid w:val="00881558"/>
    <w:rsid w:val="00883A83"/>
    <w:rsid w:val="00885E0C"/>
    <w:rsid w:val="00886D26"/>
    <w:rsid w:val="008904C1"/>
    <w:rsid w:val="00892959"/>
    <w:rsid w:val="00893657"/>
    <w:rsid w:val="00895042"/>
    <w:rsid w:val="00896E4B"/>
    <w:rsid w:val="00897182"/>
    <w:rsid w:val="008A222F"/>
    <w:rsid w:val="008A2AF4"/>
    <w:rsid w:val="008A3EF3"/>
    <w:rsid w:val="008A6138"/>
    <w:rsid w:val="008A6735"/>
    <w:rsid w:val="008A69D9"/>
    <w:rsid w:val="008B12B4"/>
    <w:rsid w:val="008B47E0"/>
    <w:rsid w:val="008B4C7E"/>
    <w:rsid w:val="008B58AD"/>
    <w:rsid w:val="008B6FE3"/>
    <w:rsid w:val="008B7058"/>
    <w:rsid w:val="008B782D"/>
    <w:rsid w:val="008C0216"/>
    <w:rsid w:val="008C2FD2"/>
    <w:rsid w:val="008C48DF"/>
    <w:rsid w:val="008C5875"/>
    <w:rsid w:val="008C7482"/>
    <w:rsid w:val="008E032F"/>
    <w:rsid w:val="008E03CB"/>
    <w:rsid w:val="008E2851"/>
    <w:rsid w:val="008E28D9"/>
    <w:rsid w:val="008E64FA"/>
    <w:rsid w:val="008E73BB"/>
    <w:rsid w:val="008F0164"/>
    <w:rsid w:val="008F0F47"/>
    <w:rsid w:val="008F17F6"/>
    <w:rsid w:val="008F2842"/>
    <w:rsid w:val="008F5D2C"/>
    <w:rsid w:val="008F79AB"/>
    <w:rsid w:val="00900720"/>
    <w:rsid w:val="009062CC"/>
    <w:rsid w:val="00910D41"/>
    <w:rsid w:val="009112BD"/>
    <w:rsid w:val="0091212B"/>
    <w:rsid w:val="00914986"/>
    <w:rsid w:val="00916060"/>
    <w:rsid w:val="009167AC"/>
    <w:rsid w:val="00921194"/>
    <w:rsid w:val="0092550E"/>
    <w:rsid w:val="00927E63"/>
    <w:rsid w:val="009309EA"/>
    <w:rsid w:val="00930F8D"/>
    <w:rsid w:val="009357E5"/>
    <w:rsid w:val="00937450"/>
    <w:rsid w:val="009375BE"/>
    <w:rsid w:val="00954E4E"/>
    <w:rsid w:val="00956AFE"/>
    <w:rsid w:val="00957DEE"/>
    <w:rsid w:val="009630B3"/>
    <w:rsid w:val="0096328F"/>
    <w:rsid w:val="0096529E"/>
    <w:rsid w:val="00965897"/>
    <w:rsid w:val="0097058D"/>
    <w:rsid w:val="00972447"/>
    <w:rsid w:val="00972767"/>
    <w:rsid w:val="009763DE"/>
    <w:rsid w:val="00976531"/>
    <w:rsid w:val="009815BA"/>
    <w:rsid w:val="00982A27"/>
    <w:rsid w:val="00983975"/>
    <w:rsid w:val="00986F68"/>
    <w:rsid w:val="0098719C"/>
    <w:rsid w:val="00990C3B"/>
    <w:rsid w:val="0099160A"/>
    <w:rsid w:val="00992BB5"/>
    <w:rsid w:val="00992D20"/>
    <w:rsid w:val="00992F71"/>
    <w:rsid w:val="00993A05"/>
    <w:rsid w:val="009A0AC6"/>
    <w:rsid w:val="009A1AAD"/>
    <w:rsid w:val="009A2FF6"/>
    <w:rsid w:val="009A641E"/>
    <w:rsid w:val="009A6D9E"/>
    <w:rsid w:val="009B3E65"/>
    <w:rsid w:val="009B4CBC"/>
    <w:rsid w:val="009C3740"/>
    <w:rsid w:val="009C53D3"/>
    <w:rsid w:val="009C68D5"/>
    <w:rsid w:val="009D246F"/>
    <w:rsid w:val="009D2F9D"/>
    <w:rsid w:val="009E1C39"/>
    <w:rsid w:val="009E628E"/>
    <w:rsid w:val="009E7709"/>
    <w:rsid w:val="009F13F1"/>
    <w:rsid w:val="009F2E16"/>
    <w:rsid w:val="009F74A0"/>
    <w:rsid w:val="009F7B06"/>
    <w:rsid w:val="009F7D9E"/>
    <w:rsid w:val="00A01695"/>
    <w:rsid w:val="00A02416"/>
    <w:rsid w:val="00A02C6F"/>
    <w:rsid w:val="00A02E9C"/>
    <w:rsid w:val="00A02EF0"/>
    <w:rsid w:val="00A04197"/>
    <w:rsid w:val="00A0467F"/>
    <w:rsid w:val="00A06BE7"/>
    <w:rsid w:val="00A079BD"/>
    <w:rsid w:val="00A10262"/>
    <w:rsid w:val="00A10538"/>
    <w:rsid w:val="00A15A5C"/>
    <w:rsid w:val="00A218FD"/>
    <w:rsid w:val="00A22F4D"/>
    <w:rsid w:val="00A241BA"/>
    <w:rsid w:val="00A32732"/>
    <w:rsid w:val="00A359AC"/>
    <w:rsid w:val="00A402C2"/>
    <w:rsid w:val="00A443A1"/>
    <w:rsid w:val="00A45AAA"/>
    <w:rsid w:val="00A4674B"/>
    <w:rsid w:val="00A52749"/>
    <w:rsid w:val="00A52B38"/>
    <w:rsid w:val="00A5300F"/>
    <w:rsid w:val="00A55A4F"/>
    <w:rsid w:val="00A55AF6"/>
    <w:rsid w:val="00A55E4C"/>
    <w:rsid w:val="00A56A80"/>
    <w:rsid w:val="00A67407"/>
    <w:rsid w:val="00A726D7"/>
    <w:rsid w:val="00A72743"/>
    <w:rsid w:val="00A8583E"/>
    <w:rsid w:val="00A90A50"/>
    <w:rsid w:val="00A91A5E"/>
    <w:rsid w:val="00A933AE"/>
    <w:rsid w:val="00A94E0E"/>
    <w:rsid w:val="00A96B93"/>
    <w:rsid w:val="00A9778B"/>
    <w:rsid w:val="00AA4331"/>
    <w:rsid w:val="00AB1E46"/>
    <w:rsid w:val="00AB2DC3"/>
    <w:rsid w:val="00AB49C9"/>
    <w:rsid w:val="00AB5464"/>
    <w:rsid w:val="00AB592A"/>
    <w:rsid w:val="00AC1145"/>
    <w:rsid w:val="00AC188F"/>
    <w:rsid w:val="00AC297D"/>
    <w:rsid w:val="00AC36F4"/>
    <w:rsid w:val="00AD01F0"/>
    <w:rsid w:val="00AD2717"/>
    <w:rsid w:val="00AD3138"/>
    <w:rsid w:val="00AE0709"/>
    <w:rsid w:val="00AE25E5"/>
    <w:rsid w:val="00AE2DB6"/>
    <w:rsid w:val="00AE321D"/>
    <w:rsid w:val="00AE4C6D"/>
    <w:rsid w:val="00AE62AA"/>
    <w:rsid w:val="00AE64E5"/>
    <w:rsid w:val="00AF782A"/>
    <w:rsid w:val="00B00515"/>
    <w:rsid w:val="00B04C85"/>
    <w:rsid w:val="00B05A74"/>
    <w:rsid w:val="00B078AB"/>
    <w:rsid w:val="00B101DD"/>
    <w:rsid w:val="00B15C0A"/>
    <w:rsid w:val="00B163E6"/>
    <w:rsid w:val="00B1682F"/>
    <w:rsid w:val="00B17B44"/>
    <w:rsid w:val="00B208DC"/>
    <w:rsid w:val="00B22CA0"/>
    <w:rsid w:val="00B23612"/>
    <w:rsid w:val="00B2610E"/>
    <w:rsid w:val="00B275C6"/>
    <w:rsid w:val="00B27F08"/>
    <w:rsid w:val="00B30CF0"/>
    <w:rsid w:val="00B3138F"/>
    <w:rsid w:val="00B33054"/>
    <w:rsid w:val="00B34984"/>
    <w:rsid w:val="00B43A33"/>
    <w:rsid w:val="00B44B95"/>
    <w:rsid w:val="00B4542F"/>
    <w:rsid w:val="00B50D7B"/>
    <w:rsid w:val="00B530D6"/>
    <w:rsid w:val="00B55A85"/>
    <w:rsid w:val="00B569BF"/>
    <w:rsid w:val="00B57991"/>
    <w:rsid w:val="00B61004"/>
    <w:rsid w:val="00B6149F"/>
    <w:rsid w:val="00B61BBC"/>
    <w:rsid w:val="00B626FB"/>
    <w:rsid w:val="00B658D4"/>
    <w:rsid w:val="00B6697F"/>
    <w:rsid w:val="00B6748D"/>
    <w:rsid w:val="00B71B45"/>
    <w:rsid w:val="00B73AEE"/>
    <w:rsid w:val="00B74A02"/>
    <w:rsid w:val="00B76018"/>
    <w:rsid w:val="00B7640F"/>
    <w:rsid w:val="00B77441"/>
    <w:rsid w:val="00B803CF"/>
    <w:rsid w:val="00B852F8"/>
    <w:rsid w:val="00B8794E"/>
    <w:rsid w:val="00B9014A"/>
    <w:rsid w:val="00B90B05"/>
    <w:rsid w:val="00B96125"/>
    <w:rsid w:val="00B9770F"/>
    <w:rsid w:val="00BA06D7"/>
    <w:rsid w:val="00BA166D"/>
    <w:rsid w:val="00BA1F0C"/>
    <w:rsid w:val="00BA579A"/>
    <w:rsid w:val="00BB00B6"/>
    <w:rsid w:val="00BB1AF9"/>
    <w:rsid w:val="00BB31DA"/>
    <w:rsid w:val="00BC0B1D"/>
    <w:rsid w:val="00BC2FD1"/>
    <w:rsid w:val="00BC5BA9"/>
    <w:rsid w:val="00BD28F8"/>
    <w:rsid w:val="00BD4154"/>
    <w:rsid w:val="00BD4F9A"/>
    <w:rsid w:val="00BE0064"/>
    <w:rsid w:val="00BE033D"/>
    <w:rsid w:val="00BE1032"/>
    <w:rsid w:val="00BE19CF"/>
    <w:rsid w:val="00BE243E"/>
    <w:rsid w:val="00BE55E3"/>
    <w:rsid w:val="00BE7240"/>
    <w:rsid w:val="00BE7D7A"/>
    <w:rsid w:val="00BF12FC"/>
    <w:rsid w:val="00BF1617"/>
    <w:rsid w:val="00BF4042"/>
    <w:rsid w:val="00BF61F6"/>
    <w:rsid w:val="00BF6F20"/>
    <w:rsid w:val="00C01D92"/>
    <w:rsid w:val="00C0623A"/>
    <w:rsid w:val="00C11B52"/>
    <w:rsid w:val="00C1243C"/>
    <w:rsid w:val="00C12912"/>
    <w:rsid w:val="00C13554"/>
    <w:rsid w:val="00C1384D"/>
    <w:rsid w:val="00C14DFC"/>
    <w:rsid w:val="00C16107"/>
    <w:rsid w:val="00C1636C"/>
    <w:rsid w:val="00C17D1A"/>
    <w:rsid w:val="00C22F7C"/>
    <w:rsid w:val="00C233CC"/>
    <w:rsid w:val="00C237D5"/>
    <w:rsid w:val="00C23A88"/>
    <w:rsid w:val="00C24641"/>
    <w:rsid w:val="00C24EB3"/>
    <w:rsid w:val="00C27A8B"/>
    <w:rsid w:val="00C32CCC"/>
    <w:rsid w:val="00C348CA"/>
    <w:rsid w:val="00C37E78"/>
    <w:rsid w:val="00C418DC"/>
    <w:rsid w:val="00C4216F"/>
    <w:rsid w:val="00C43B23"/>
    <w:rsid w:val="00C4405E"/>
    <w:rsid w:val="00C4436D"/>
    <w:rsid w:val="00C45313"/>
    <w:rsid w:val="00C52CC0"/>
    <w:rsid w:val="00C54B3E"/>
    <w:rsid w:val="00C5665D"/>
    <w:rsid w:val="00C603A7"/>
    <w:rsid w:val="00C62A97"/>
    <w:rsid w:val="00C63A82"/>
    <w:rsid w:val="00C6584D"/>
    <w:rsid w:val="00C67E32"/>
    <w:rsid w:val="00C71A7F"/>
    <w:rsid w:val="00C73401"/>
    <w:rsid w:val="00C73944"/>
    <w:rsid w:val="00C74D5C"/>
    <w:rsid w:val="00C75057"/>
    <w:rsid w:val="00C75FE4"/>
    <w:rsid w:val="00C824BF"/>
    <w:rsid w:val="00C83F35"/>
    <w:rsid w:val="00C8588D"/>
    <w:rsid w:val="00C86BDC"/>
    <w:rsid w:val="00C901B2"/>
    <w:rsid w:val="00C904EE"/>
    <w:rsid w:val="00C907ED"/>
    <w:rsid w:val="00C91CF0"/>
    <w:rsid w:val="00C95AD8"/>
    <w:rsid w:val="00C961C8"/>
    <w:rsid w:val="00CA11E0"/>
    <w:rsid w:val="00CA24DD"/>
    <w:rsid w:val="00CA31BD"/>
    <w:rsid w:val="00CA3BF7"/>
    <w:rsid w:val="00CA543E"/>
    <w:rsid w:val="00CA5D1F"/>
    <w:rsid w:val="00CB0CB4"/>
    <w:rsid w:val="00CB15F1"/>
    <w:rsid w:val="00CB1D05"/>
    <w:rsid w:val="00CB3D4C"/>
    <w:rsid w:val="00CB638B"/>
    <w:rsid w:val="00CC02E7"/>
    <w:rsid w:val="00CC0A22"/>
    <w:rsid w:val="00CC1149"/>
    <w:rsid w:val="00CC19EF"/>
    <w:rsid w:val="00CC2D4D"/>
    <w:rsid w:val="00CC435E"/>
    <w:rsid w:val="00CC5F8F"/>
    <w:rsid w:val="00CC6083"/>
    <w:rsid w:val="00CC68C4"/>
    <w:rsid w:val="00CC7DBE"/>
    <w:rsid w:val="00CE203D"/>
    <w:rsid w:val="00CE2EE9"/>
    <w:rsid w:val="00CE7C0D"/>
    <w:rsid w:val="00CF2245"/>
    <w:rsid w:val="00CF4FBF"/>
    <w:rsid w:val="00CF6C2B"/>
    <w:rsid w:val="00CF7F11"/>
    <w:rsid w:val="00D007D8"/>
    <w:rsid w:val="00D01B5A"/>
    <w:rsid w:val="00D04B60"/>
    <w:rsid w:val="00D12A96"/>
    <w:rsid w:val="00D173C8"/>
    <w:rsid w:val="00D225F3"/>
    <w:rsid w:val="00D2689C"/>
    <w:rsid w:val="00D27880"/>
    <w:rsid w:val="00D330A0"/>
    <w:rsid w:val="00D3789B"/>
    <w:rsid w:val="00D41ABC"/>
    <w:rsid w:val="00D42633"/>
    <w:rsid w:val="00D44778"/>
    <w:rsid w:val="00D45C59"/>
    <w:rsid w:val="00D4636A"/>
    <w:rsid w:val="00D46A51"/>
    <w:rsid w:val="00D473D8"/>
    <w:rsid w:val="00D53C1C"/>
    <w:rsid w:val="00D544DA"/>
    <w:rsid w:val="00D545DA"/>
    <w:rsid w:val="00D5468C"/>
    <w:rsid w:val="00D5563D"/>
    <w:rsid w:val="00D56C59"/>
    <w:rsid w:val="00D62699"/>
    <w:rsid w:val="00D627E8"/>
    <w:rsid w:val="00D65B45"/>
    <w:rsid w:val="00D70E46"/>
    <w:rsid w:val="00D715CA"/>
    <w:rsid w:val="00D72688"/>
    <w:rsid w:val="00D752BF"/>
    <w:rsid w:val="00D7547E"/>
    <w:rsid w:val="00D75ED9"/>
    <w:rsid w:val="00D77BCD"/>
    <w:rsid w:val="00D77D65"/>
    <w:rsid w:val="00D806DD"/>
    <w:rsid w:val="00D80FDA"/>
    <w:rsid w:val="00D8316D"/>
    <w:rsid w:val="00D83177"/>
    <w:rsid w:val="00D863E2"/>
    <w:rsid w:val="00D9036A"/>
    <w:rsid w:val="00D913E7"/>
    <w:rsid w:val="00D925EC"/>
    <w:rsid w:val="00D95449"/>
    <w:rsid w:val="00DA0C54"/>
    <w:rsid w:val="00DB218F"/>
    <w:rsid w:val="00DB498D"/>
    <w:rsid w:val="00DC0DD3"/>
    <w:rsid w:val="00DC2737"/>
    <w:rsid w:val="00DC45B3"/>
    <w:rsid w:val="00DC492C"/>
    <w:rsid w:val="00DC6D3C"/>
    <w:rsid w:val="00DC718B"/>
    <w:rsid w:val="00DD0D1D"/>
    <w:rsid w:val="00DD369D"/>
    <w:rsid w:val="00DD78A2"/>
    <w:rsid w:val="00DE136E"/>
    <w:rsid w:val="00DE6DFC"/>
    <w:rsid w:val="00DF16D4"/>
    <w:rsid w:val="00DF1E16"/>
    <w:rsid w:val="00DF32C7"/>
    <w:rsid w:val="00DF334A"/>
    <w:rsid w:val="00DF3BAC"/>
    <w:rsid w:val="00E0092C"/>
    <w:rsid w:val="00E025CF"/>
    <w:rsid w:val="00E057FD"/>
    <w:rsid w:val="00E0760B"/>
    <w:rsid w:val="00E15275"/>
    <w:rsid w:val="00E23B8B"/>
    <w:rsid w:val="00E25821"/>
    <w:rsid w:val="00E25BE8"/>
    <w:rsid w:val="00E2613A"/>
    <w:rsid w:val="00E32512"/>
    <w:rsid w:val="00E33590"/>
    <w:rsid w:val="00E33806"/>
    <w:rsid w:val="00E35BA7"/>
    <w:rsid w:val="00E3676A"/>
    <w:rsid w:val="00E3781D"/>
    <w:rsid w:val="00E3790B"/>
    <w:rsid w:val="00E41557"/>
    <w:rsid w:val="00E455FE"/>
    <w:rsid w:val="00E46F4C"/>
    <w:rsid w:val="00E46F5C"/>
    <w:rsid w:val="00E50251"/>
    <w:rsid w:val="00E51964"/>
    <w:rsid w:val="00E520A4"/>
    <w:rsid w:val="00E53895"/>
    <w:rsid w:val="00E53B54"/>
    <w:rsid w:val="00E55665"/>
    <w:rsid w:val="00E60FE2"/>
    <w:rsid w:val="00E63BCF"/>
    <w:rsid w:val="00E67AE1"/>
    <w:rsid w:val="00E7268F"/>
    <w:rsid w:val="00E74F65"/>
    <w:rsid w:val="00E750A8"/>
    <w:rsid w:val="00E825FE"/>
    <w:rsid w:val="00E82D20"/>
    <w:rsid w:val="00E84C52"/>
    <w:rsid w:val="00E853E7"/>
    <w:rsid w:val="00E85DB9"/>
    <w:rsid w:val="00E86461"/>
    <w:rsid w:val="00E90CD3"/>
    <w:rsid w:val="00E90E10"/>
    <w:rsid w:val="00E94DE2"/>
    <w:rsid w:val="00E950E0"/>
    <w:rsid w:val="00E9574B"/>
    <w:rsid w:val="00EA44D5"/>
    <w:rsid w:val="00EA5353"/>
    <w:rsid w:val="00EA7077"/>
    <w:rsid w:val="00EA79C3"/>
    <w:rsid w:val="00EB04FE"/>
    <w:rsid w:val="00EB1069"/>
    <w:rsid w:val="00EB2F27"/>
    <w:rsid w:val="00EB5853"/>
    <w:rsid w:val="00EB5F58"/>
    <w:rsid w:val="00EB71D4"/>
    <w:rsid w:val="00EC0FE2"/>
    <w:rsid w:val="00EC2C20"/>
    <w:rsid w:val="00ED5C28"/>
    <w:rsid w:val="00EE1433"/>
    <w:rsid w:val="00EE488C"/>
    <w:rsid w:val="00EE4C19"/>
    <w:rsid w:val="00EE6558"/>
    <w:rsid w:val="00EF376F"/>
    <w:rsid w:val="00EF4DC1"/>
    <w:rsid w:val="00EF4F67"/>
    <w:rsid w:val="00F01CFD"/>
    <w:rsid w:val="00F0273C"/>
    <w:rsid w:val="00F02A5C"/>
    <w:rsid w:val="00F05491"/>
    <w:rsid w:val="00F076C2"/>
    <w:rsid w:val="00F07DAF"/>
    <w:rsid w:val="00F16417"/>
    <w:rsid w:val="00F217F1"/>
    <w:rsid w:val="00F22358"/>
    <w:rsid w:val="00F246B0"/>
    <w:rsid w:val="00F2536A"/>
    <w:rsid w:val="00F277B9"/>
    <w:rsid w:val="00F345AF"/>
    <w:rsid w:val="00F37A8C"/>
    <w:rsid w:val="00F37C8E"/>
    <w:rsid w:val="00F37FA2"/>
    <w:rsid w:val="00F44D47"/>
    <w:rsid w:val="00F46AC4"/>
    <w:rsid w:val="00F5363D"/>
    <w:rsid w:val="00F559E8"/>
    <w:rsid w:val="00F60DB3"/>
    <w:rsid w:val="00F61ACA"/>
    <w:rsid w:val="00F64376"/>
    <w:rsid w:val="00F6571A"/>
    <w:rsid w:val="00F66B2A"/>
    <w:rsid w:val="00F66E05"/>
    <w:rsid w:val="00F71BCD"/>
    <w:rsid w:val="00F73933"/>
    <w:rsid w:val="00F74F2D"/>
    <w:rsid w:val="00F77468"/>
    <w:rsid w:val="00F816D9"/>
    <w:rsid w:val="00F86FAB"/>
    <w:rsid w:val="00F87854"/>
    <w:rsid w:val="00F91DBE"/>
    <w:rsid w:val="00F931D3"/>
    <w:rsid w:val="00F93F0A"/>
    <w:rsid w:val="00F959D3"/>
    <w:rsid w:val="00FA0BE6"/>
    <w:rsid w:val="00FA2085"/>
    <w:rsid w:val="00FA6C2A"/>
    <w:rsid w:val="00FB5601"/>
    <w:rsid w:val="00FB72F3"/>
    <w:rsid w:val="00FC0432"/>
    <w:rsid w:val="00FC2D8F"/>
    <w:rsid w:val="00FC3D76"/>
    <w:rsid w:val="00FC72C3"/>
    <w:rsid w:val="00FD0174"/>
    <w:rsid w:val="00FD61D4"/>
    <w:rsid w:val="00FD667B"/>
    <w:rsid w:val="00FD6A93"/>
    <w:rsid w:val="00FD6FD0"/>
    <w:rsid w:val="00FE006C"/>
    <w:rsid w:val="00FE5403"/>
    <w:rsid w:val="00FE579B"/>
    <w:rsid w:val="00FE5F04"/>
    <w:rsid w:val="00FE6C45"/>
    <w:rsid w:val="00FF323C"/>
    <w:rsid w:val="00FF39AA"/>
    <w:rsid w:val="00FF553D"/>
    <w:rsid w:val="00FF5609"/>
    <w:rsid w:val="00FF674D"/>
    <w:rsid w:val="01C37299"/>
    <w:rsid w:val="056B60E2"/>
    <w:rsid w:val="05E16776"/>
    <w:rsid w:val="09131500"/>
    <w:rsid w:val="0A6D6367"/>
    <w:rsid w:val="0AA4491A"/>
    <w:rsid w:val="0D88673D"/>
    <w:rsid w:val="0F8E680F"/>
    <w:rsid w:val="1C834F97"/>
    <w:rsid w:val="27F021A3"/>
    <w:rsid w:val="2A984780"/>
    <w:rsid w:val="2D7F1AA1"/>
    <w:rsid w:val="2E8F3135"/>
    <w:rsid w:val="3010137D"/>
    <w:rsid w:val="31A80B3A"/>
    <w:rsid w:val="331A22EE"/>
    <w:rsid w:val="38A63F5A"/>
    <w:rsid w:val="413C747D"/>
    <w:rsid w:val="41BF491A"/>
    <w:rsid w:val="42521C80"/>
    <w:rsid w:val="476E5034"/>
    <w:rsid w:val="4B1619C2"/>
    <w:rsid w:val="545742C7"/>
    <w:rsid w:val="555B7A6E"/>
    <w:rsid w:val="5B724519"/>
    <w:rsid w:val="5D1C1EA3"/>
    <w:rsid w:val="60683A73"/>
    <w:rsid w:val="68101C9F"/>
    <w:rsid w:val="6EA1759D"/>
    <w:rsid w:val="761F1974"/>
    <w:rsid w:val="7B4060CD"/>
    <w:rsid w:val="7FD21F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annotation text"/>
    <w:basedOn w:val="1"/>
    <w:link w:val="14"/>
    <w:semiHidden/>
    <w:unhideWhenUsed/>
    <w:qFormat/>
    <w:uiPriority w:val="99"/>
    <w:pPr>
      <w:jc w:val="left"/>
    </w:pPr>
  </w:style>
  <w:style w:type="paragraph" w:styleId="3">
    <w:name w:val="Balloon Text"/>
    <w:basedOn w:val="1"/>
    <w:link w:val="16"/>
    <w:semiHidden/>
    <w:unhideWhenUsed/>
    <w:uiPriority w:val="99"/>
    <w:rPr>
      <w:sz w:val="18"/>
      <w:szCs w:val="18"/>
    </w:rPr>
  </w:style>
  <w:style w:type="paragraph" w:styleId="4">
    <w:name w:val="footer"/>
    <w:basedOn w:val="1"/>
    <w:link w:val="12"/>
    <w:unhideWhenUsed/>
    <w:qFormat/>
    <w:uiPriority w:val="99"/>
    <w:pPr>
      <w:tabs>
        <w:tab w:val="center" w:pos="4153"/>
        <w:tab w:val="right" w:pos="8306"/>
      </w:tabs>
      <w:snapToGrid w:val="0"/>
      <w:jc w:val="left"/>
    </w:pPr>
    <w:rPr>
      <w:sz w:val="18"/>
      <w:szCs w:val="18"/>
    </w:rPr>
  </w:style>
  <w:style w:type="paragraph" w:styleId="5">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annotation subject"/>
    <w:basedOn w:val="2"/>
    <w:next w:val="2"/>
    <w:link w:val="15"/>
    <w:semiHidden/>
    <w:unhideWhenUsed/>
    <w:qFormat/>
    <w:uiPriority w:val="99"/>
    <w:rPr>
      <w:b/>
      <w:bCs/>
    </w:rPr>
  </w:style>
  <w:style w:type="table" w:styleId="8">
    <w:name w:val="Table Grid"/>
    <w:basedOn w:val="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annotation reference"/>
    <w:basedOn w:val="9"/>
    <w:semiHidden/>
    <w:unhideWhenUsed/>
    <w:qFormat/>
    <w:uiPriority w:val="99"/>
    <w:rPr>
      <w:sz w:val="21"/>
      <w:szCs w:val="21"/>
    </w:rPr>
  </w:style>
  <w:style w:type="character" w:customStyle="1" w:styleId="11">
    <w:name w:val="页眉 Char"/>
    <w:basedOn w:val="9"/>
    <w:link w:val="5"/>
    <w:qFormat/>
    <w:uiPriority w:val="99"/>
    <w:rPr>
      <w:sz w:val="18"/>
      <w:szCs w:val="18"/>
    </w:rPr>
  </w:style>
  <w:style w:type="character" w:customStyle="1" w:styleId="12">
    <w:name w:val="页脚 Char"/>
    <w:basedOn w:val="9"/>
    <w:link w:val="4"/>
    <w:qFormat/>
    <w:uiPriority w:val="99"/>
    <w:rPr>
      <w:sz w:val="18"/>
      <w:szCs w:val="18"/>
    </w:rPr>
  </w:style>
  <w:style w:type="paragraph" w:styleId="13">
    <w:name w:val="List Paragraph"/>
    <w:basedOn w:val="1"/>
    <w:qFormat/>
    <w:uiPriority w:val="99"/>
    <w:pPr>
      <w:ind w:firstLine="420" w:firstLineChars="200"/>
    </w:pPr>
  </w:style>
  <w:style w:type="character" w:customStyle="1" w:styleId="14">
    <w:name w:val="批注文字 Char"/>
    <w:basedOn w:val="9"/>
    <w:link w:val="2"/>
    <w:semiHidden/>
    <w:qFormat/>
    <w:uiPriority w:val="99"/>
  </w:style>
  <w:style w:type="character" w:customStyle="1" w:styleId="15">
    <w:name w:val="批注主题 Char"/>
    <w:basedOn w:val="14"/>
    <w:link w:val="6"/>
    <w:semiHidden/>
    <w:qFormat/>
    <w:uiPriority w:val="99"/>
    <w:rPr>
      <w:b/>
      <w:bCs/>
    </w:rPr>
  </w:style>
  <w:style w:type="character" w:customStyle="1" w:styleId="16">
    <w:name w:val="批注框文本 Char"/>
    <w:basedOn w:val="9"/>
    <w:link w:val="3"/>
    <w:semiHidden/>
    <w:qFormat/>
    <w:uiPriority w:val="99"/>
    <w:rPr>
      <w:sz w:val="18"/>
      <w:szCs w:val="18"/>
    </w:rPr>
  </w:style>
  <w:style w:type="paragraph" w:customStyle="1" w:styleId="17">
    <w:name w:val="默认段落字体 Para Char Char Char Char Char Char Char"/>
    <w:basedOn w:val="1"/>
    <w:qFormat/>
    <w:uiPriority w:val="0"/>
    <w:rPr>
      <w:rFonts w:ascii="Times New Roman" w:hAnsi="Times New Roman" w:eastAsia="宋体" w:cs="Times New Roman"/>
      <w:szCs w:val="24"/>
    </w:rPr>
  </w:style>
  <w:style w:type="paragraph" w:customStyle="1" w:styleId="18">
    <w:name w:val="_Style 2"/>
    <w:basedOn w:val="1"/>
    <w:qFormat/>
    <w:uiPriority w:val="99"/>
    <w:pPr>
      <w:ind w:firstLine="420" w:firstLineChars="200"/>
    </w:pPr>
    <w:rPr>
      <w:rFonts w:ascii="Calibri" w:hAnsi="Calibri" w:eastAsia="宋体" w:cs="Times New Roma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BED0AC1-7BFC-4119-BF98-6EE06B045B5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10</Pages>
  <Words>758</Words>
  <Characters>4323</Characters>
  <Lines>36</Lines>
  <Paragraphs>10</Paragraphs>
  <TotalTime>7426</TotalTime>
  <ScaleCrop>false</ScaleCrop>
  <LinksUpToDate>false</LinksUpToDate>
  <CharactersWithSpaces>5071</CharactersWithSpaces>
  <Application>WPS Office_11.1.0.10938_F1E327BC-269C-435d-A152-05C5408002CA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2019-02-01T00:48:00Z</dcterms:created>
  <dc:creator>微软用户</dc:creator>
  <cp:lastModifiedBy>妮妮</cp:lastModifiedBy>
  <cp:lastPrinted>2021-10-28T06:59:03Z</cp:lastPrinted>
  <dcterms:modified xsi:type="dcterms:W3CDTF">2021-10-28T06:59:10Z</dcterms:modified>
  <cp:revision>1169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880C880E48664C7E8E0C9A1795D4158F</vt:lpwstr>
  </property>
</Properties>
</file>