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jc w:val="center"/>
                    <w:rPr>
                      <w:rFonts w:hAnsi="宋体" w:asciiTheme="minorEastAsia" w:eastAsiaTheme="minorEastAsia"/>
                      <w:color w:val="FDEFBE"/>
                      <w:sz w:val="72"/>
                      <w:szCs w:val="72"/>
                    </w:rPr>
                  </w:pPr>
                  <w:r>
                    <w:rPr>
                      <w:rFonts w:hint="eastAsia" w:hAnsi="宋体" w:asciiTheme="minorEastAsia" w:eastAsiaTheme="minorEastAsia"/>
                      <w:color w:val="FDEFBE"/>
                      <w:sz w:val="72"/>
                      <w:szCs w:val="72"/>
                    </w:rPr>
                    <w:t>中共高邑县委宣传部</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w:t>
      </w:r>
      <w:r>
        <w:rPr>
          <w:rFonts w:hint="eastAsia" w:ascii="宋体" w:hAnsi="宋体" w:cs="宋体"/>
          <w:b/>
          <w:sz w:val="40"/>
          <w:szCs w:val="40"/>
        </w:rPr>
        <w:t>八</w:t>
      </w:r>
      <w:r>
        <w:rPr>
          <w:rFonts w:hint="eastAsia" w:ascii="楷体_GB2312" w:hAnsi="楷体" w:eastAsia="楷体_GB2312" w:cs="楷体"/>
          <w:b/>
          <w:sz w:val="40"/>
          <w:szCs w:val="40"/>
        </w:rPr>
        <w:t>日</w:t>
      </w:r>
    </w:p>
    <w:p>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55168;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中共高邑县委宣传部</w:t>
      </w:r>
      <w:r>
        <w:rPr>
          <w:rFonts w:eastAsia="黑体"/>
          <w:sz w:val="32"/>
          <w:szCs w:val="32"/>
        </w:rPr>
        <w:t>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中共高邑县委宣传部</w:t>
      </w:r>
      <w:r>
        <w:rPr>
          <w:rFonts w:eastAsia="黑体"/>
          <w:sz w:val="32"/>
          <w:szCs w:val="32"/>
        </w:rPr>
        <w:t>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中共高邑县委宣传部</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54144;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4"/>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40832;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spacing w:line="500" w:lineRule="exact"/>
        <w:ind w:firstLine="640" w:firstLineChars="200"/>
        <w:rPr>
          <w:rFonts w:ascii="仿宋" w:hAnsi="仿宋" w:eastAsia="仿宋"/>
          <w:sz w:val="32"/>
          <w:szCs w:val="32"/>
        </w:rPr>
      </w:pPr>
      <w:r>
        <w:rPr>
          <w:rFonts w:hint="eastAsia" w:ascii="仿宋_GB2312" w:eastAsia="仿宋_GB2312" w:cs="ArialUnicodeMS" w:hAnsiTheme="minorHAnsi"/>
          <w:kern w:val="0"/>
          <w:sz w:val="32"/>
          <w:szCs w:val="32"/>
        </w:rPr>
        <w:t xml:space="preserve"> </w:t>
      </w:r>
      <w:r>
        <w:rPr>
          <w:rFonts w:ascii="仿宋" w:hAnsi="仿宋" w:eastAsia="仿宋" w:cs="仿宋"/>
          <w:sz w:val="32"/>
          <w:szCs w:val="32"/>
        </w:rPr>
        <w:t>1</w:t>
      </w:r>
      <w:r>
        <w:rPr>
          <w:rFonts w:hint="eastAsia" w:ascii="仿宋" w:hAnsi="仿宋" w:eastAsia="仿宋" w:cs="仿宋"/>
          <w:sz w:val="32"/>
          <w:szCs w:val="32"/>
        </w:rPr>
        <w:t>、根据中央提出的一个时期的中心工作和中宣部、省市、县委的要求，结合我县情况，制定宣传规划，提出实施方案，部署工作任务。　　</w:t>
      </w:r>
    </w:p>
    <w:p>
      <w:pPr>
        <w:spacing w:line="500" w:lineRule="exact"/>
        <w:ind w:firstLine="640" w:firstLineChars="200"/>
        <w:rPr>
          <w:rFonts w:ascii="仿宋" w:hAnsi="仿宋" w:eastAsia="仿宋"/>
          <w:sz w:val="32"/>
          <w:szCs w:val="32"/>
        </w:rPr>
      </w:pPr>
      <w:r>
        <w:rPr>
          <w:rFonts w:ascii="仿宋" w:hAnsi="仿宋" w:eastAsia="仿宋" w:cs="仿宋"/>
          <w:sz w:val="32"/>
          <w:szCs w:val="32"/>
        </w:rPr>
        <w:t>2</w:t>
      </w:r>
      <w:r>
        <w:rPr>
          <w:rFonts w:hint="eastAsia" w:ascii="仿宋" w:hAnsi="仿宋" w:eastAsia="仿宋" w:cs="仿宋"/>
          <w:sz w:val="32"/>
          <w:szCs w:val="32"/>
        </w:rPr>
        <w:t>、负责指导全县理论研究、理论学习、理论宣传工作。负责县委理论学习中心组理论学习的有关工作。</w:t>
      </w:r>
    </w:p>
    <w:p>
      <w:pPr>
        <w:spacing w:line="500" w:lineRule="exact"/>
        <w:ind w:firstLine="640" w:firstLineChars="200"/>
        <w:rPr>
          <w:rFonts w:ascii="仿宋" w:hAnsi="仿宋" w:eastAsia="仿宋"/>
          <w:sz w:val="32"/>
          <w:szCs w:val="32"/>
        </w:rPr>
      </w:pPr>
      <w:r>
        <w:rPr>
          <w:rFonts w:ascii="仿宋" w:hAnsi="仿宋" w:eastAsia="仿宋" w:cs="仿宋"/>
          <w:sz w:val="32"/>
          <w:szCs w:val="32"/>
        </w:rPr>
        <w:t>3</w:t>
      </w:r>
      <w:r>
        <w:rPr>
          <w:rFonts w:hint="eastAsia" w:ascii="仿宋" w:hAnsi="仿宋" w:eastAsia="仿宋" w:cs="仿宋"/>
          <w:sz w:val="32"/>
          <w:szCs w:val="32"/>
        </w:rPr>
        <w:t>、负责引导社会舆论，指导、协调各新闻单位的工作。对广播电视台、网络公司的工作实施方针、政策的指导。　　</w:t>
      </w:r>
    </w:p>
    <w:p>
      <w:pPr>
        <w:spacing w:line="500" w:lineRule="exact"/>
        <w:ind w:firstLine="640" w:firstLineChars="200"/>
        <w:rPr>
          <w:rFonts w:ascii="仿宋" w:hAnsi="仿宋" w:eastAsia="仿宋"/>
          <w:sz w:val="32"/>
          <w:szCs w:val="32"/>
        </w:rPr>
      </w:pPr>
      <w:r>
        <w:rPr>
          <w:rFonts w:ascii="仿宋" w:hAnsi="仿宋" w:eastAsia="仿宋" w:cs="仿宋"/>
          <w:sz w:val="32"/>
          <w:szCs w:val="32"/>
        </w:rPr>
        <w:t>4</w:t>
      </w:r>
      <w:r>
        <w:rPr>
          <w:rFonts w:hint="eastAsia" w:ascii="仿宋" w:hAnsi="仿宋" w:eastAsia="仿宋" w:cs="仿宋"/>
          <w:sz w:val="32"/>
          <w:szCs w:val="32"/>
        </w:rPr>
        <w:t>、负责从宏观上指导全县精神产品生产和文化事业建设。对文化局、文联实施方针、政策的指导。　　</w:t>
      </w:r>
    </w:p>
    <w:p>
      <w:pPr>
        <w:spacing w:line="500" w:lineRule="exact"/>
        <w:ind w:firstLine="640" w:firstLineChars="200"/>
        <w:rPr>
          <w:rFonts w:ascii="仿宋" w:hAnsi="仿宋" w:eastAsia="仿宋"/>
          <w:sz w:val="32"/>
          <w:szCs w:val="32"/>
        </w:rPr>
      </w:pPr>
      <w:r>
        <w:rPr>
          <w:rFonts w:ascii="仿宋" w:hAnsi="仿宋" w:eastAsia="仿宋" w:cs="仿宋"/>
          <w:sz w:val="32"/>
          <w:szCs w:val="32"/>
        </w:rPr>
        <w:t>5</w:t>
      </w:r>
      <w:r>
        <w:rPr>
          <w:rFonts w:hint="eastAsia" w:ascii="仿宋" w:hAnsi="仿宋" w:eastAsia="仿宋" w:cs="仿宋"/>
          <w:sz w:val="32"/>
          <w:szCs w:val="32"/>
        </w:rPr>
        <w:t>、负责规划、部署全局性的党员教育和思想政治工作，组织开展思想教育活动；负责全县爱国主义教育基地的建设和管理；负责全县政工职称的评定和政工师的管理工作；领导职工思想政治工作研究会。</w:t>
      </w:r>
      <w:r>
        <w:rPr>
          <w:rFonts w:hint="eastAsia" w:ascii="仿宋" w:hAnsi="仿宋" w:eastAsia="仿宋" w:cs="仿宋"/>
          <w:b/>
          <w:bCs/>
          <w:sz w:val="32"/>
          <w:szCs w:val="32"/>
        </w:rPr>
        <w:t>　</w:t>
      </w:r>
      <w:r>
        <w:rPr>
          <w:rFonts w:hint="eastAsia" w:ascii="仿宋" w:hAnsi="仿宋" w:eastAsia="仿宋" w:cs="仿宋"/>
          <w:sz w:val="32"/>
          <w:szCs w:val="32"/>
        </w:rPr>
        <w:t>　</w:t>
      </w:r>
    </w:p>
    <w:p>
      <w:pPr>
        <w:spacing w:line="500" w:lineRule="exact"/>
        <w:ind w:firstLine="640" w:firstLineChars="200"/>
        <w:rPr>
          <w:rFonts w:ascii="仿宋" w:hAnsi="仿宋" w:eastAsia="仿宋"/>
          <w:sz w:val="32"/>
          <w:szCs w:val="32"/>
        </w:rPr>
      </w:pPr>
      <w:r>
        <w:rPr>
          <w:rFonts w:ascii="仿宋" w:hAnsi="仿宋" w:eastAsia="仿宋" w:cs="仿宋"/>
          <w:sz w:val="32"/>
          <w:szCs w:val="32"/>
        </w:rPr>
        <w:t>6</w:t>
      </w:r>
      <w:r>
        <w:rPr>
          <w:rFonts w:hint="eastAsia" w:ascii="仿宋" w:hAnsi="仿宋" w:eastAsia="仿宋" w:cs="仿宋"/>
          <w:sz w:val="32"/>
          <w:szCs w:val="32"/>
        </w:rPr>
        <w:t>、负责全县宣传队伍建设；指导全县宣传文化系统各单位做好知识分子工作。　</w:t>
      </w:r>
    </w:p>
    <w:p>
      <w:pPr>
        <w:spacing w:line="500" w:lineRule="exact"/>
        <w:ind w:firstLine="640" w:firstLineChars="200"/>
        <w:rPr>
          <w:rFonts w:ascii="仿宋" w:hAnsi="仿宋" w:eastAsia="仿宋"/>
          <w:sz w:val="32"/>
          <w:szCs w:val="32"/>
        </w:rPr>
      </w:pPr>
      <w:r>
        <w:rPr>
          <w:rFonts w:ascii="仿宋" w:hAnsi="仿宋" w:eastAsia="仿宋" w:cs="仿宋"/>
          <w:sz w:val="32"/>
          <w:szCs w:val="32"/>
        </w:rPr>
        <w:t>7</w:t>
      </w:r>
      <w:r>
        <w:rPr>
          <w:rFonts w:hint="eastAsia" w:ascii="仿宋" w:hAnsi="仿宋" w:eastAsia="仿宋" w:cs="仿宋"/>
          <w:sz w:val="32"/>
          <w:szCs w:val="32"/>
        </w:rPr>
        <w:t>、负责谋划全县对外宣传工作，组织协调我县对外宣传和网上新闻宣传工作，完成市委外宣局和市委外宣工作领导小组交办的各项工作。　　</w:t>
      </w:r>
    </w:p>
    <w:p>
      <w:pPr>
        <w:spacing w:line="500" w:lineRule="exact"/>
        <w:ind w:firstLine="640" w:firstLineChars="200"/>
        <w:rPr>
          <w:rFonts w:ascii="仿宋" w:hAnsi="仿宋" w:eastAsia="仿宋"/>
          <w:sz w:val="32"/>
          <w:szCs w:val="32"/>
        </w:rPr>
      </w:pPr>
      <w:r>
        <w:rPr>
          <w:rFonts w:ascii="仿宋" w:hAnsi="仿宋" w:eastAsia="仿宋" w:cs="仿宋"/>
          <w:sz w:val="32"/>
          <w:szCs w:val="32"/>
        </w:rPr>
        <w:t>8</w:t>
      </w:r>
      <w:r>
        <w:rPr>
          <w:rFonts w:hint="eastAsia" w:ascii="仿宋" w:hAnsi="仿宋" w:eastAsia="仿宋" w:cs="仿宋"/>
          <w:sz w:val="32"/>
          <w:szCs w:val="32"/>
        </w:rPr>
        <w:t>、负责规划部署全县精神文明建设工作；组织指导全县群众性精神文明创建活动。　　</w:t>
      </w:r>
    </w:p>
    <w:p>
      <w:pPr>
        <w:spacing w:line="500" w:lineRule="exact"/>
        <w:ind w:firstLine="640" w:firstLineChars="200"/>
        <w:rPr>
          <w:rFonts w:ascii="仿宋" w:hAnsi="仿宋" w:eastAsia="仿宋"/>
          <w:sz w:val="32"/>
          <w:szCs w:val="32"/>
        </w:rPr>
      </w:pPr>
      <w:r>
        <w:rPr>
          <w:rFonts w:ascii="仿宋" w:hAnsi="仿宋" w:eastAsia="仿宋" w:cs="仿宋"/>
          <w:sz w:val="32"/>
          <w:szCs w:val="32"/>
        </w:rPr>
        <w:t>9</w:t>
      </w:r>
      <w:r>
        <w:rPr>
          <w:rFonts w:hint="eastAsia" w:ascii="仿宋" w:hAnsi="仿宋" w:eastAsia="仿宋" w:cs="仿宋"/>
          <w:sz w:val="32"/>
          <w:szCs w:val="32"/>
        </w:rPr>
        <w:t>、指导协调全县文化市场建设和管理，落实“扫黄打非”任务，做好督导检查工作，及时掌握研究文化市场发展动向和趋势。　</w:t>
      </w:r>
    </w:p>
    <w:p>
      <w:pPr>
        <w:spacing w:line="500" w:lineRule="exact"/>
        <w:ind w:firstLine="640" w:firstLineChars="200"/>
        <w:rPr>
          <w:rFonts w:ascii="仿宋" w:hAnsi="仿宋" w:eastAsia="仿宋"/>
          <w:b/>
          <w:bCs/>
          <w:sz w:val="32"/>
          <w:szCs w:val="32"/>
        </w:rPr>
      </w:pPr>
      <w:r>
        <w:rPr>
          <w:rFonts w:ascii="仿宋" w:hAnsi="仿宋" w:eastAsia="仿宋" w:cs="仿宋"/>
          <w:sz w:val="32"/>
          <w:szCs w:val="32"/>
        </w:rPr>
        <w:t>10</w:t>
      </w:r>
      <w:r>
        <w:rPr>
          <w:rFonts w:hint="eastAsia" w:ascii="仿宋" w:hAnsi="仿宋" w:eastAsia="仿宋" w:cs="仿宋"/>
          <w:sz w:val="32"/>
          <w:szCs w:val="32"/>
        </w:rPr>
        <w:t>、完成市委宣传部和县委交办的其他任务。</w:t>
      </w:r>
    </w:p>
    <w:p>
      <w:pPr>
        <w:autoSpaceDE w:val="0"/>
        <w:autoSpaceDN w:val="0"/>
        <w:adjustRightInd w:val="0"/>
        <w:spacing w:after="0" w:line="560" w:lineRule="exact"/>
        <w:jc w:val="left"/>
        <w:rPr>
          <w:rFonts w:ascii="仿宋_GB2312" w:eastAsia="仿宋_GB2312" w:cs="ArialUnicodeMS" w:hAnsiTheme="minorHAnsi"/>
          <w:kern w:val="0"/>
          <w:sz w:val="32"/>
          <w:szCs w:val="32"/>
        </w:rPr>
      </w:pPr>
    </w:p>
    <w:p>
      <w:pPr>
        <w:pStyle w:val="4"/>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 个，具体情况如下：</w:t>
      </w:r>
    </w:p>
    <w:tbl>
      <w:tblPr>
        <w:tblStyle w:val="16"/>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中共高邑县委宣传部</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Pr>
        <w:spacing w:line="500" w:lineRule="exact"/>
        <w:ind w:firstLine="640" w:firstLineChars="200"/>
        <w:rPr>
          <w:rFonts w:hint="eastAsia" w:ascii="黑体" w:eastAsia="黑体" w:cs="黑体" w:hAnsiTheme="minorHAnsi"/>
          <w:b w:val="0"/>
          <w:bCs w:val="0"/>
          <w:kern w:val="0"/>
          <w:sz w:val="32"/>
          <w:szCs w:val="32"/>
          <w:lang w:val="en-US" w:eastAsia="zh-CN" w:bidi="ar-SA"/>
        </w:rPr>
      </w:pPr>
      <w:r>
        <w:rPr>
          <w:rFonts w:hint="eastAsia" w:ascii="黑体" w:eastAsia="黑体" w:cs="黑体" w:hAnsiTheme="minorHAnsi"/>
          <w:b w:val="0"/>
          <w:bCs w:val="0"/>
          <w:kern w:val="0"/>
          <w:sz w:val="32"/>
          <w:szCs w:val="32"/>
          <w:lang w:val="en-US" w:eastAsia="zh-CN" w:bidi="ar-SA"/>
        </w:rPr>
        <w:t>本部门应公开10张决算表格，即：</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一、收入支出决算总表（公开01表）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二、收入决算表（公开02表）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三、支出决算表（公开03表）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四、财政拨款收入支出决算总表（公开04表）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五、一般公共预算财政拨款支出决算表（公开05表）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六、一般公共预算财政拨款基本支出决算表（公开06表）</w:t>
      </w:r>
    </w:p>
    <w:p>
      <w:pPr>
        <w:spacing w:line="500" w:lineRule="exact"/>
        <w:ind w:left="958" w:leftChars="304" w:hanging="320" w:hangingChars="100"/>
        <w:rPr>
          <w:rFonts w:hint="eastAsia" w:ascii="仿宋" w:hAnsi="仿宋" w:eastAsia="仿宋" w:cs="仿宋"/>
          <w:sz w:val="32"/>
          <w:szCs w:val="32"/>
          <w:lang w:eastAsia="zh-CN"/>
        </w:rPr>
      </w:pPr>
      <w:r>
        <w:rPr>
          <w:rFonts w:hint="eastAsia" w:ascii="仿宋" w:hAnsi="仿宋" w:eastAsia="仿宋" w:cs="仿宋"/>
          <w:sz w:val="32"/>
          <w:szCs w:val="32"/>
          <w:lang w:eastAsia="zh-CN"/>
        </w:rPr>
        <w:t>七、一般公共预算财政拨款“三公”经费支出决算表（公开07表）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八、政府性基金预算财政拨款收入支出决算表（公开08表）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九、国有资本经营预算财政拨款支出决算表（公开09表）</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十、政府采购情况表（公开10表）</w:t>
      </w:r>
    </w:p>
    <w:p>
      <w:pPr>
        <w:spacing w:line="500" w:lineRule="exact"/>
        <w:ind w:firstLine="640" w:firstLineChars="200"/>
        <w:rPr>
          <w:rFonts w:hint="eastAsia" w:ascii="仿宋" w:hAnsi="仿宋" w:eastAsia="仿宋" w:cs="仿宋"/>
          <w:sz w:val="32"/>
          <w:szCs w:val="32"/>
          <w:lang w:eastAsia="zh-CN"/>
        </w:rPr>
        <w:sectPr>
          <w:pgSz w:w="11906" w:h="16838"/>
          <w:pgMar w:top="2098" w:right="1474" w:bottom="1984" w:left="1588" w:header="851" w:footer="992" w:gutter="0"/>
          <w:cols w:space="0" w:num="1"/>
          <w:docGrid w:type="lines" w:linePitch="312" w:charSpace="0"/>
        </w:sectPr>
      </w:pPr>
      <w:r>
        <w:rPr>
          <w:rFonts w:hint="eastAsia" w:ascii="仿宋" w:hAnsi="仿宋" w:eastAsia="仿宋" w:cs="仿宋"/>
          <w:sz w:val="32"/>
          <w:szCs w:val="32"/>
          <w:lang w:eastAsia="zh-CN"/>
        </w:rPr>
        <w:t>详见附表：《高邑县宣传部2018年度部门决算公开表》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5"/>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本部门2018年度收支总计（含结转和结余）286.0</w:t>
      </w:r>
      <w:r>
        <w:rPr>
          <w:rFonts w:hint="eastAsia" w:ascii="宋体" w:hAnsi="宋体" w:cs="宋体"/>
          <w:sz w:val="32"/>
          <w:szCs w:val="32"/>
        </w:rPr>
        <w:t>9</w:t>
      </w:r>
      <w:r>
        <w:rPr>
          <w:rFonts w:hint="eastAsia" w:ascii="仿宋_GB2312" w:eastAsia="仿宋_GB2312" w:cs="DengXian-Regular"/>
          <w:sz w:val="32"/>
          <w:szCs w:val="32"/>
        </w:rPr>
        <w:t>万元。与2017年度决算相比，收支各增加88.32万元，增长45%，主要原因是召开系列宣传宣讲活动，文明城市创建、人员工资增资。</w:t>
      </w:r>
    </w:p>
    <w:p>
      <w:pPr>
        <w:pStyle w:val="5"/>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本部门2018年度本年收入合计283.22万元，其中：财政拨款收入283.22万元，占100%；事业收入0万元，占0%；经营收入0万元，占0%；其他收入0万元，占0%。如图所示：</w:t>
      </w:r>
    </w:p>
    <w:tbl>
      <w:tblPr>
        <w:tblStyle w:val="15"/>
        <w:tblW w:w="7032" w:type="dxa"/>
        <w:jc w:val="center"/>
        <w:tblInd w:w="0" w:type="dxa"/>
        <w:tblLayout w:type="fixed"/>
        <w:tblCellMar>
          <w:top w:w="0" w:type="dxa"/>
          <w:left w:w="108" w:type="dxa"/>
          <w:bottom w:w="0" w:type="dxa"/>
          <w:right w:w="108" w:type="dxa"/>
        </w:tblCellMar>
      </w:tblPr>
      <w:tblGrid>
        <w:gridCol w:w="1176"/>
        <w:gridCol w:w="976"/>
        <w:gridCol w:w="976"/>
        <w:gridCol w:w="976"/>
        <w:gridCol w:w="976"/>
        <w:gridCol w:w="976"/>
        <w:gridCol w:w="976"/>
      </w:tblGrid>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bl>
            <w:tblPr>
              <w:tblStyle w:val="15"/>
              <w:tblW w:w="960" w:type="dxa"/>
              <w:tblCellSpacing w:w="0" w:type="dxa"/>
              <w:tblInd w:w="0" w:type="dxa"/>
              <w:tblLayout w:type="fixed"/>
              <w:tblCellMar>
                <w:top w:w="0" w:type="dxa"/>
                <w:left w:w="0" w:type="dxa"/>
                <w:bottom w:w="0" w:type="dxa"/>
                <w:right w:w="0" w:type="dxa"/>
              </w:tblCellMar>
            </w:tblPr>
            <w:tblGrid>
              <w:gridCol w:w="960"/>
            </w:tblGrid>
            <w:tr>
              <w:tblPrEx>
                <w:tblLayout w:type="fixed"/>
                <w:tblCellMar>
                  <w:top w:w="0" w:type="dxa"/>
                  <w:left w:w="0" w:type="dxa"/>
                  <w:bottom w:w="0" w:type="dxa"/>
                  <w:right w:w="0" w:type="dxa"/>
                </w:tblCellMar>
              </w:tblPrEx>
              <w:trPr>
                <w:trHeight w:val="308" w:hRule="atLeast"/>
                <w:tblCellSpacing w:w="0" w:type="dxa"/>
              </w:trPr>
              <w:tc>
                <w:tcPr>
                  <w:tcW w:w="960"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r>
                    <w:rPr>
                      <w:rFonts w:ascii="Arial" w:hAnsi="Arial" w:cs="Arial"/>
                      <w:color w:val="000000"/>
                      <w:kern w:val="0"/>
                      <w:sz w:val="20"/>
                      <w:szCs w:val="20"/>
                    </w:rPr>
                    <w:drawing>
                      <wp:anchor distT="0" distB="0" distL="114300" distR="114300" simplePos="0" relativeHeight="251684864" behindDoc="0" locked="0" layoutInCell="1" allowOverlap="1">
                        <wp:simplePos x="0" y="0"/>
                        <wp:positionH relativeFrom="column">
                          <wp:posOffset>79375</wp:posOffset>
                        </wp:positionH>
                        <wp:positionV relativeFrom="paragraph">
                          <wp:posOffset>20955</wp:posOffset>
                        </wp:positionV>
                        <wp:extent cx="3923665" cy="2762250"/>
                        <wp:effectExtent l="19050" t="0" r="19685" b="0"/>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tc>
            </w:tr>
          </w:tbl>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bl>
    <w:p>
      <w:pPr>
        <w:adjustRightInd w:val="0"/>
        <w:snapToGrid w:val="0"/>
        <w:spacing w:after="0" w:line="580" w:lineRule="exact"/>
        <w:ind w:firstLine="2560" w:firstLineChars="800"/>
        <w:rPr>
          <w:rFonts w:ascii="仿宋_GB2312" w:eastAsia="仿宋_GB2312" w:cs="DengXian-Regular"/>
          <w:sz w:val="32"/>
          <w:szCs w:val="32"/>
        </w:rPr>
      </w:pPr>
      <w:r>
        <w:rPr>
          <w:rFonts w:hint="eastAsia" w:ascii="仿宋_GB2312" w:eastAsia="仿宋_GB2312" w:cs="DengXian-Regular"/>
          <w:sz w:val="32"/>
          <w:szCs w:val="32"/>
        </w:rPr>
        <w:t>图1：收入构成情况</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5"/>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本部门2018年度本年支出合计278.6</w:t>
      </w:r>
      <w:r>
        <w:rPr>
          <w:rFonts w:hint="eastAsia" w:ascii="宋体" w:hAnsi="宋体" w:cs="宋体"/>
          <w:sz w:val="32"/>
          <w:szCs w:val="32"/>
        </w:rPr>
        <w:t>9</w:t>
      </w:r>
      <w:r>
        <w:rPr>
          <w:rFonts w:hint="eastAsia" w:ascii="仿宋_GB2312" w:eastAsia="仿宋_GB2312" w:cs="DengXian-Regular"/>
          <w:sz w:val="32"/>
          <w:szCs w:val="32"/>
        </w:rPr>
        <w:t>万元，其中：基本支出157.05万元，占56%；项目支出121.64万元，占44%；经营支出0万元，占0%。如图所示：</w:t>
      </w:r>
    </w:p>
    <w:tbl>
      <w:tblPr>
        <w:tblStyle w:val="15"/>
        <w:tblW w:w="6056" w:type="dxa"/>
        <w:jc w:val="center"/>
        <w:tblInd w:w="0" w:type="dxa"/>
        <w:tblLayout w:type="fixed"/>
        <w:tblCellMar>
          <w:top w:w="0" w:type="dxa"/>
          <w:left w:w="108" w:type="dxa"/>
          <w:bottom w:w="0" w:type="dxa"/>
          <w:right w:w="108" w:type="dxa"/>
        </w:tblCellMar>
      </w:tblPr>
      <w:tblGrid>
        <w:gridCol w:w="1176"/>
        <w:gridCol w:w="976"/>
        <w:gridCol w:w="976"/>
        <w:gridCol w:w="976"/>
        <w:gridCol w:w="976"/>
        <w:gridCol w:w="976"/>
      </w:tblGrid>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r>
              <w:rPr>
                <w:rFonts w:ascii="Arial" w:hAnsi="Arial" w:cs="Arial"/>
                <w:color w:val="000000"/>
                <w:kern w:val="0"/>
                <w:sz w:val="20"/>
                <w:szCs w:val="20"/>
              </w:rPr>
              <w:drawing>
                <wp:anchor distT="0" distB="0" distL="114300" distR="114300" simplePos="0" relativeHeight="251686912" behindDoc="0" locked="0" layoutInCell="1" allowOverlap="1">
                  <wp:simplePos x="0" y="0"/>
                  <wp:positionH relativeFrom="column">
                    <wp:posOffset>161925</wp:posOffset>
                  </wp:positionH>
                  <wp:positionV relativeFrom="paragraph">
                    <wp:posOffset>152400</wp:posOffset>
                  </wp:positionV>
                  <wp:extent cx="3409950" cy="2762250"/>
                  <wp:effectExtent l="0" t="0" r="635" b="0"/>
                  <wp:wrapNone/>
                  <wp:docPr id="10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tbl>
            <w:tblPr>
              <w:tblStyle w:val="15"/>
              <w:tblW w:w="960" w:type="dxa"/>
              <w:jc w:val="center"/>
              <w:tblCellSpacing w:w="0" w:type="dxa"/>
              <w:tblInd w:w="0" w:type="dxa"/>
              <w:tblLayout w:type="fixed"/>
              <w:tblCellMar>
                <w:top w:w="0" w:type="dxa"/>
                <w:left w:w="0" w:type="dxa"/>
                <w:bottom w:w="0" w:type="dxa"/>
                <w:right w:w="0" w:type="dxa"/>
              </w:tblCellMar>
            </w:tblPr>
            <w:tblGrid>
              <w:gridCol w:w="960"/>
            </w:tblGrid>
            <w:tr>
              <w:tblPrEx>
                <w:tblLayout w:type="fixed"/>
                <w:tblCellMar>
                  <w:top w:w="0" w:type="dxa"/>
                  <w:left w:w="0" w:type="dxa"/>
                  <w:bottom w:w="0" w:type="dxa"/>
                  <w:right w:w="0" w:type="dxa"/>
                </w:tblCellMar>
              </w:tblPrEx>
              <w:trPr>
                <w:trHeight w:val="308" w:hRule="atLeast"/>
                <w:tblCellSpacing w:w="0" w:type="dxa"/>
                <w:jc w:val="center"/>
              </w:trPr>
              <w:tc>
                <w:tcPr>
                  <w:tcW w:w="960"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bl>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bl>
    <w:p>
      <w:pPr>
        <w:adjustRightInd w:val="0"/>
        <w:snapToGrid w:val="0"/>
        <w:spacing w:after="0" w:line="580" w:lineRule="exact"/>
        <w:ind w:firstLine="2880" w:firstLineChars="900"/>
        <w:rPr>
          <w:rFonts w:ascii="仿宋_GB2312" w:eastAsia="仿宋_GB2312" w:cs="DengXian-Regular"/>
          <w:sz w:val="32"/>
          <w:szCs w:val="32"/>
        </w:rPr>
      </w:pPr>
      <w:r>
        <w:rPr>
          <w:rFonts w:hint="eastAsia" w:ascii="仿宋_GB2312" w:eastAsia="仿宋_GB2312" w:cs="DengXian-Regular"/>
          <w:sz w:val="32"/>
          <w:szCs w:val="32"/>
        </w:rPr>
        <w:t>图2：支出构成情况</w:t>
      </w:r>
    </w:p>
    <w:p>
      <w:pPr>
        <w:adjustRightInd w:val="0"/>
        <w:snapToGrid w:val="0"/>
        <w:spacing w:after="0" w:line="580" w:lineRule="exact"/>
        <w:ind w:firstLine="1920" w:firstLineChars="600"/>
        <w:rPr>
          <w:rFonts w:hint="eastAsia" w:ascii="仿宋_GB2312" w:eastAsia="仿宋_GB2312" w:cs="DengXian-Regular"/>
          <w:sz w:val="32"/>
          <w:szCs w:val="32"/>
        </w:rPr>
      </w:pPr>
    </w:p>
    <w:p>
      <w:pPr>
        <w:adjustRightInd w:val="0"/>
        <w:snapToGrid w:val="0"/>
        <w:spacing w:after="0" w:line="580" w:lineRule="exact"/>
        <w:ind w:firstLine="1920" w:firstLineChars="600"/>
        <w:rPr>
          <w:rFonts w:hint="eastAsia" w:ascii="仿宋_GB2312" w:eastAsia="仿宋_GB2312" w:cs="DengXian-Regular"/>
          <w:sz w:val="32"/>
          <w:szCs w:val="32"/>
        </w:rPr>
      </w:pPr>
    </w:p>
    <w:p>
      <w:pPr>
        <w:adjustRightInd w:val="0"/>
        <w:snapToGrid w:val="0"/>
        <w:spacing w:after="0" w:line="580" w:lineRule="exact"/>
        <w:ind w:firstLine="1920" w:firstLineChars="600"/>
        <w:rPr>
          <w:rFonts w:hint="eastAsia" w:ascii="仿宋_GB2312" w:eastAsia="仿宋_GB2312" w:cs="DengXian-Regular"/>
          <w:sz w:val="32"/>
          <w:szCs w:val="32"/>
        </w:rPr>
      </w:pPr>
    </w:p>
    <w:p>
      <w:pPr>
        <w:adjustRightInd w:val="0"/>
        <w:snapToGrid w:val="0"/>
        <w:spacing w:after="0" w:line="580" w:lineRule="exact"/>
        <w:ind w:firstLine="1920" w:firstLineChars="600"/>
        <w:rPr>
          <w:rFonts w:hint="eastAsia" w:ascii="仿宋_GB2312" w:eastAsia="仿宋_GB2312" w:cs="DengXian-Regular"/>
          <w:sz w:val="32"/>
          <w:szCs w:val="32"/>
        </w:rPr>
      </w:pPr>
    </w:p>
    <w:p>
      <w:pPr>
        <w:adjustRightInd w:val="0"/>
        <w:snapToGrid w:val="0"/>
        <w:spacing w:after="0" w:line="580" w:lineRule="exact"/>
        <w:ind w:firstLine="1920" w:firstLineChars="600"/>
        <w:rPr>
          <w:rFonts w:hint="eastAsia" w:ascii="仿宋_GB2312" w:eastAsia="仿宋_GB2312" w:cs="DengXian-Regular"/>
          <w:sz w:val="32"/>
          <w:szCs w:val="32"/>
        </w:rPr>
      </w:pPr>
    </w:p>
    <w:p>
      <w:pPr>
        <w:adjustRightInd w:val="0"/>
        <w:snapToGrid w:val="0"/>
        <w:spacing w:after="0" w:line="580" w:lineRule="exact"/>
        <w:ind w:firstLine="2640" w:firstLineChars="600"/>
        <w:rPr>
          <w:rFonts w:ascii="仿宋_GB2312" w:eastAsia="仿宋_GB2312" w:cs="DengXian-Regular"/>
          <w:sz w:val="32"/>
          <w:szCs w:val="32"/>
        </w:rPr>
      </w:pPr>
      <w:r>
        <w:rPr>
          <w:sz w:val="44"/>
        </w:rPr>
        <w:pict>
          <v:group id="_x0000_s1070" o:spid="_x0000_s1070" o:spt="203" style="position:absolute;left:0pt;margin-left:-0.55pt;margin-top:29.3pt;height:43.95pt;width:301.85pt;mso-position-horizontal-relative:page;mso-position-vertical-relative:page;z-index:25166643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5"/>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本部门2018年度形成的财政拨款收支均为一般公共预算财政拨款，其中一般公共预算财政拨款本年收入283.22万元,比2017年度增加88.0</w:t>
      </w:r>
      <w:r>
        <w:rPr>
          <w:rFonts w:hint="eastAsia" w:ascii="宋体" w:hAnsi="宋体" w:cs="宋体"/>
          <w:sz w:val="32"/>
          <w:szCs w:val="32"/>
        </w:rPr>
        <w:t>9</w:t>
      </w:r>
      <w:r>
        <w:rPr>
          <w:rFonts w:hint="eastAsia" w:ascii="仿宋_GB2312" w:eastAsia="仿宋_GB2312" w:cs="DengXian-Regular"/>
          <w:sz w:val="32"/>
          <w:szCs w:val="32"/>
        </w:rPr>
        <w:t>万元，增长45%，主要是召开系列宣传宣讲活动，文明城市创建、人员工资增资；本年支出278.6</w:t>
      </w:r>
      <w:r>
        <w:rPr>
          <w:rFonts w:hint="eastAsia" w:ascii="宋体" w:hAnsi="宋体" w:cs="宋体"/>
          <w:sz w:val="32"/>
          <w:szCs w:val="32"/>
        </w:rPr>
        <w:t>9</w:t>
      </w:r>
      <w:r>
        <w:rPr>
          <w:rFonts w:hint="eastAsia" w:ascii="仿宋_GB2312" w:eastAsia="仿宋_GB2312" w:cs="DengXian-Regular"/>
          <w:sz w:val="32"/>
          <w:szCs w:val="32"/>
        </w:rPr>
        <w:t>万元，增加83.7</w:t>
      </w:r>
      <w:r>
        <w:rPr>
          <w:rFonts w:hint="eastAsia" w:ascii="宋体" w:hAnsi="宋体" w:cs="宋体"/>
          <w:sz w:val="32"/>
          <w:szCs w:val="32"/>
        </w:rPr>
        <w:t>9</w:t>
      </w:r>
      <w:r>
        <w:rPr>
          <w:rFonts w:hint="eastAsia" w:ascii="仿宋_GB2312" w:eastAsia="仿宋_GB2312" w:cs="DengXian-Regular"/>
          <w:sz w:val="32"/>
          <w:szCs w:val="32"/>
        </w:rPr>
        <w:t>万元，增长43%，主要是召开系列宣传宣讲活动，文明城市创建、人员工资增资。</w:t>
      </w:r>
    </w:p>
    <w:tbl>
      <w:tblPr>
        <w:tblStyle w:val="15"/>
        <w:tblW w:w="7872" w:type="dxa"/>
        <w:jc w:val="center"/>
        <w:tblInd w:w="0" w:type="dxa"/>
        <w:tblLayout w:type="fixed"/>
        <w:tblCellMar>
          <w:top w:w="0" w:type="dxa"/>
          <w:left w:w="108" w:type="dxa"/>
          <w:bottom w:w="0" w:type="dxa"/>
          <w:right w:w="108" w:type="dxa"/>
        </w:tblCellMar>
      </w:tblPr>
      <w:tblGrid>
        <w:gridCol w:w="1296"/>
        <w:gridCol w:w="1096"/>
        <w:gridCol w:w="1096"/>
        <w:gridCol w:w="1096"/>
        <w:gridCol w:w="1096"/>
        <w:gridCol w:w="1096"/>
        <w:gridCol w:w="1096"/>
      </w:tblGrid>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88960" behindDoc="0" locked="0" layoutInCell="1" allowOverlap="1">
                  <wp:simplePos x="0" y="0"/>
                  <wp:positionH relativeFrom="column">
                    <wp:posOffset>123825</wp:posOffset>
                  </wp:positionH>
                  <wp:positionV relativeFrom="paragraph">
                    <wp:posOffset>104775</wp:posOffset>
                  </wp:positionV>
                  <wp:extent cx="4591050" cy="2762250"/>
                  <wp:effectExtent l="0" t="0" r="635" b="635"/>
                  <wp:wrapNone/>
                  <wp:docPr id="10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tbl>
            <w:tblPr>
              <w:tblStyle w:val="15"/>
              <w:tblW w:w="1080" w:type="dxa"/>
              <w:tblCellSpacing w:w="0" w:type="dxa"/>
              <w:tblInd w:w="0" w:type="dxa"/>
              <w:tblLayout w:type="fixed"/>
              <w:tblCellMar>
                <w:top w:w="0" w:type="dxa"/>
                <w:left w:w="0" w:type="dxa"/>
                <w:bottom w:w="0" w:type="dxa"/>
                <w:right w:w="0" w:type="dxa"/>
              </w:tblCellMar>
            </w:tblPr>
            <w:tblGrid>
              <w:gridCol w:w="1080"/>
            </w:tblGrid>
            <w:tr>
              <w:tblPrEx>
                <w:tblLayout w:type="fixed"/>
                <w:tblCellMar>
                  <w:top w:w="0" w:type="dxa"/>
                  <w:left w:w="0" w:type="dxa"/>
                  <w:bottom w:w="0" w:type="dxa"/>
                  <w:right w:w="0" w:type="dxa"/>
                </w:tblCellMar>
              </w:tblPrEx>
              <w:trPr>
                <w:trHeight w:val="270" w:hRule="atLeast"/>
                <w:tblCellSpacing w:w="0" w:type="dxa"/>
              </w:trPr>
              <w:tc>
                <w:tcPr>
                  <w:tcW w:w="1080"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bl>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jc w:val="center"/>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bl>
    <w:p>
      <w:pPr>
        <w:adjustRightInd w:val="0"/>
        <w:snapToGrid w:val="0"/>
        <w:spacing w:after="0" w:line="580" w:lineRule="exact"/>
        <w:ind w:firstLine="640" w:firstLineChars="200"/>
        <w:jc w:val="center"/>
        <w:rPr>
          <w:rFonts w:ascii="宋体" w:hAnsi="宋体" w:cs="宋体"/>
          <w:sz w:val="32"/>
          <w:szCs w:val="32"/>
        </w:rPr>
      </w:pPr>
      <w:r>
        <w:rPr>
          <w:rFonts w:hint="eastAsia" w:ascii="仿宋_GB2312" w:eastAsia="仿宋_GB2312" w:cs="DengXian-Regular"/>
          <w:sz w:val="32"/>
          <w:szCs w:val="32"/>
        </w:rPr>
        <w:t>图3</w:t>
      </w:r>
      <w:r>
        <w:rPr>
          <w:rFonts w:hint="eastAsia" w:ascii="宋体" w:hAnsi="宋体" w:cs="宋体"/>
          <w:sz w:val="32"/>
          <w:szCs w:val="32"/>
        </w:rPr>
        <w:t>:2017-2018年财政拨款收支情况</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本部门2018年度一般公共预算财政拨款收入283.22万元，完成年初预算的174%,比年初预算增加120.73万元，决算数大于预算数主要原因是召开系列宣传宣讲活动，文明城市创建、人员工资增资；本年支出278.6</w:t>
      </w:r>
      <w:r>
        <w:rPr>
          <w:rFonts w:hint="eastAsia" w:ascii="宋体" w:hAnsi="宋体" w:cs="宋体"/>
          <w:sz w:val="32"/>
          <w:szCs w:val="32"/>
        </w:rPr>
        <w:t>9</w:t>
      </w:r>
      <w:r>
        <w:rPr>
          <w:rFonts w:hint="eastAsia" w:ascii="仿宋_GB2312" w:eastAsia="仿宋_GB2312" w:cs="DengXian-Regular"/>
          <w:sz w:val="32"/>
          <w:szCs w:val="32"/>
        </w:rPr>
        <w:t>万元，完成年初预算的172%,比年初预算增加116.2万元，决算数大于预算数主要原因是</w:t>
      </w:r>
      <w:r>
        <w:rPr>
          <w:rFonts w:hint="eastAsia" w:ascii="宋体" w:hAnsi="宋体" w:cs="宋体"/>
          <w:sz w:val="32"/>
          <w:szCs w:val="32"/>
        </w:rPr>
        <w:t>召</w:t>
      </w:r>
      <w:r>
        <w:rPr>
          <w:rFonts w:hint="eastAsia" w:ascii="仿宋_GB2312" w:eastAsia="仿宋_GB2312" w:cs="DengXian-Regular"/>
          <w:sz w:val="32"/>
          <w:szCs w:val="32"/>
        </w:rPr>
        <w:t>开系列宣传宣讲活动，文明城市创建、人员工资增资。</w:t>
      </w:r>
    </w:p>
    <w:p>
      <w:pPr>
        <w:adjustRightInd w:val="0"/>
        <w:snapToGrid w:val="0"/>
        <w:spacing w:after="0" w:line="580" w:lineRule="exact"/>
        <w:ind w:firstLine="640" w:firstLineChars="200"/>
        <w:rPr>
          <w:rFonts w:ascii="仿宋_GB2312" w:eastAsia="仿宋_GB2312" w:cs="DengXian-Regular"/>
          <w:sz w:val="32"/>
          <w:szCs w:val="32"/>
          <w:highlight w:val="yellow"/>
        </w:rPr>
      </w:pPr>
    </w:p>
    <w:tbl>
      <w:tblPr>
        <w:tblStyle w:val="15"/>
        <w:tblW w:w="7872" w:type="dxa"/>
        <w:tblInd w:w="108" w:type="dxa"/>
        <w:tblLayout w:type="fixed"/>
        <w:tblCellMar>
          <w:top w:w="0" w:type="dxa"/>
          <w:left w:w="108" w:type="dxa"/>
          <w:bottom w:w="0" w:type="dxa"/>
          <w:right w:w="108" w:type="dxa"/>
        </w:tblCellMar>
      </w:tblPr>
      <w:tblGrid>
        <w:gridCol w:w="1296"/>
        <w:gridCol w:w="1096"/>
        <w:gridCol w:w="1096"/>
        <w:gridCol w:w="1096"/>
        <w:gridCol w:w="1096"/>
        <w:gridCol w:w="1096"/>
        <w:gridCol w:w="1096"/>
      </w:tblGrid>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r>
              <w:rPr>
                <w:rFonts w:ascii="宋体" w:hAnsi="宋体" w:cs="宋体"/>
                <w:color w:val="000000"/>
                <w:kern w:val="0"/>
                <w:sz w:val="22"/>
                <w:szCs w:val="22"/>
              </w:rPr>
              <w:drawing>
                <wp:anchor distT="0" distB="0" distL="114300" distR="114300" simplePos="0" relativeHeight="251691008" behindDoc="0" locked="0" layoutInCell="1" allowOverlap="1">
                  <wp:simplePos x="0" y="0"/>
                  <wp:positionH relativeFrom="column">
                    <wp:posOffset>190500</wp:posOffset>
                  </wp:positionH>
                  <wp:positionV relativeFrom="paragraph">
                    <wp:posOffset>133350</wp:posOffset>
                  </wp:positionV>
                  <wp:extent cx="4448175" cy="2762250"/>
                  <wp:effectExtent l="0" t="0" r="0" b="0"/>
                  <wp:wrapNone/>
                  <wp:docPr id="10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tbl>
            <w:tblPr>
              <w:tblStyle w:val="15"/>
              <w:tblW w:w="1080" w:type="dxa"/>
              <w:tblCellSpacing w:w="0" w:type="dxa"/>
              <w:tblInd w:w="0" w:type="dxa"/>
              <w:tblLayout w:type="fixed"/>
              <w:tblCellMar>
                <w:top w:w="0" w:type="dxa"/>
                <w:left w:w="0" w:type="dxa"/>
                <w:bottom w:w="0" w:type="dxa"/>
                <w:right w:w="0" w:type="dxa"/>
              </w:tblCellMar>
            </w:tblPr>
            <w:tblGrid>
              <w:gridCol w:w="1080"/>
            </w:tblGrid>
            <w:tr>
              <w:tblPrEx>
                <w:tblLayout w:type="fixed"/>
                <w:tblCellMar>
                  <w:top w:w="0" w:type="dxa"/>
                  <w:left w:w="0" w:type="dxa"/>
                  <w:bottom w:w="0" w:type="dxa"/>
                  <w:right w:w="0" w:type="dxa"/>
                </w:tblCellMar>
              </w:tblPrEx>
              <w:trPr>
                <w:trHeight w:val="270" w:hRule="atLeast"/>
                <w:tblCellSpacing w:w="0" w:type="dxa"/>
              </w:trPr>
              <w:tc>
                <w:tcPr>
                  <w:tcW w:w="1080"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bl>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r>
        <w:tblPrEx>
          <w:tblLayout w:type="fixed"/>
          <w:tblCellMar>
            <w:top w:w="0" w:type="dxa"/>
            <w:left w:w="108" w:type="dxa"/>
            <w:bottom w:w="0" w:type="dxa"/>
            <w:right w:w="108" w:type="dxa"/>
          </w:tblCellMar>
        </w:tblPrEx>
        <w:trPr>
          <w:trHeight w:val="270" w:hRule="atLeast"/>
        </w:trPr>
        <w:tc>
          <w:tcPr>
            <w:tcW w:w="12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c>
          <w:tcPr>
            <w:tcW w:w="1096" w:type="dxa"/>
            <w:tcBorders>
              <w:top w:val="nil"/>
              <w:left w:val="nil"/>
              <w:bottom w:val="nil"/>
              <w:right w:val="nil"/>
            </w:tcBorders>
            <w:shd w:val="clear" w:color="auto" w:fill="auto"/>
            <w:vAlign w:val="bottom"/>
          </w:tcPr>
          <w:p>
            <w:pPr>
              <w:widowControl/>
              <w:spacing w:after="0" w:line="240" w:lineRule="auto"/>
              <w:jc w:val="left"/>
              <w:rPr>
                <w:rFonts w:ascii="宋体" w:hAnsi="宋体" w:cs="宋体"/>
                <w:color w:val="000000"/>
                <w:kern w:val="0"/>
                <w:sz w:val="22"/>
                <w:szCs w:val="22"/>
              </w:rPr>
            </w:pPr>
          </w:p>
        </w:tc>
      </w:tr>
    </w:tbl>
    <w:p>
      <w:pPr>
        <w:adjustRightInd w:val="0"/>
        <w:snapToGrid w:val="0"/>
        <w:spacing w:after="0" w:line="580" w:lineRule="exact"/>
        <w:jc w:val="center"/>
        <w:rPr>
          <w:rFonts w:ascii="仿宋_GB2312" w:eastAsia="仿宋_GB2312" w:cs="DengXian-Regular"/>
          <w:sz w:val="32"/>
          <w:szCs w:val="32"/>
        </w:rPr>
      </w:pPr>
      <w:r>
        <w:rPr>
          <w:rFonts w:hint="eastAsia" w:ascii="仿宋_GB2312" w:eastAsia="仿宋_GB2312" w:cs="DengXian-Regular"/>
          <w:sz w:val="32"/>
          <w:szCs w:val="32"/>
        </w:rPr>
        <w:t>图4：财政拨款收支预决算对比情况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2018 年度财政拨款支出278.6</w:t>
      </w:r>
      <w:r>
        <w:rPr>
          <w:rFonts w:hint="eastAsia" w:ascii="宋体" w:hAnsi="宋体" w:cs="宋体"/>
          <w:sz w:val="32"/>
          <w:szCs w:val="32"/>
        </w:rPr>
        <w:t>9</w:t>
      </w:r>
      <w:r>
        <w:rPr>
          <w:rFonts w:hint="eastAsia" w:ascii="仿宋_GB2312" w:eastAsia="仿宋_GB2312" w:cs="DengXian-Regular"/>
          <w:sz w:val="32"/>
          <w:szCs w:val="32"/>
        </w:rPr>
        <w:t>万元，主要用于以下方面一般公共服务支出278.6</w:t>
      </w:r>
      <w:r>
        <w:rPr>
          <w:rFonts w:hint="eastAsia" w:ascii="宋体" w:hAnsi="宋体" w:cs="宋体"/>
          <w:sz w:val="32"/>
          <w:szCs w:val="32"/>
        </w:rPr>
        <w:t>9</w:t>
      </w:r>
      <w:r>
        <w:rPr>
          <w:rFonts w:hint="eastAsia" w:ascii="仿宋_GB2312" w:eastAsia="仿宋_GB2312" w:cs="DengXian-Regular"/>
          <w:sz w:val="32"/>
          <w:szCs w:val="32"/>
        </w:rPr>
        <w:t>万元，占100%。</w:t>
      </w:r>
      <w:r>
        <w:rPr>
          <w:rFonts w:hint="eastAsia" w:ascii="仿宋_GB2312" w:eastAsia="仿宋_GB2312" w:cs="仿宋_GB2312"/>
          <w:sz w:val="32"/>
          <w:szCs w:val="32"/>
        </w:rPr>
        <w:t>公共安全（类）支出0万元，占0%；</w:t>
      </w:r>
      <w:r>
        <w:rPr>
          <w:rFonts w:hint="eastAsia" w:ascii="仿宋" w:hAnsi="仿宋" w:eastAsia="仿宋" w:cs="微软雅黑"/>
          <w:sz w:val="32"/>
          <w:szCs w:val="32"/>
        </w:rPr>
        <w:t>教育</w:t>
      </w:r>
      <w:r>
        <w:rPr>
          <w:rFonts w:hint="eastAsia" w:ascii="仿宋" w:hAnsi="仿宋" w:eastAsia="仿宋" w:cs="___WRD_EMBED_SUB_47"/>
          <w:sz w:val="32"/>
          <w:szCs w:val="32"/>
        </w:rPr>
        <w:t>（</w:t>
      </w:r>
      <w:r>
        <w:rPr>
          <w:rFonts w:hint="eastAsia" w:ascii="仿宋_GB2312" w:eastAsia="仿宋_GB2312" w:cs="仿宋_GB2312"/>
          <w:sz w:val="32"/>
          <w:szCs w:val="32"/>
        </w:rPr>
        <w:t>类）支出0万元，占0%；科</w:t>
      </w:r>
      <w:r>
        <w:rPr>
          <w:rFonts w:hint="eastAsia" w:ascii="仿宋" w:hAnsi="仿宋" w:eastAsia="仿宋" w:cs="微软雅黑"/>
          <w:sz w:val="32"/>
          <w:szCs w:val="32"/>
        </w:rPr>
        <w:t>学</w:t>
      </w:r>
      <w:r>
        <w:rPr>
          <w:rFonts w:hint="eastAsia" w:ascii="仿宋_GB2312" w:eastAsia="仿宋_GB2312" w:cs="仿宋_GB2312"/>
          <w:sz w:val="32"/>
          <w:szCs w:val="32"/>
        </w:rPr>
        <w:t>技术（类）支出0万元，占0%；社会保障和</w:t>
      </w:r>
      <w:r>
        <w:rPr>
          <w:rFonts w:hint="eastAsia" w:ascii="仿宋" w:hAnsi="仿宋" w:eastAsia="仿宋" w:cs="微软雅黑"/>
          <w:sz w:val="32"/>
          <w:szCs w:val="32"/>
        </w:rPr>
        <w:t>就</w:t>
      </w:r>
      <w:r>
        <w:rPr>
          <w:rFonts w:hint="eastAsia" w:ascii="仿宋" w:hAnsi="仿宋" w:eastAsia="仿宋" w:cs="___WRD_EMBED_SUB_47"/>
          <w:sz w:val="32"/>
          <w:szCs w:val="32"/>
        </w:rPr>
        <w:t>业（</w:t>
      </w:r>
      <w:r>
        <w:rPr>
          <w:rFonts w:hint="eastAsia" w:ascii="仿宋_GB2312" w:eastAsia="仿宋_GB2312" w:cs="仿宋_GB2312"/>
          <w:sz w:val="32"/>
          <w:szCs w:val="32"/>
        </w:rPr>
        <w:t>类）支出0万元，占0%；住房保障（类）支出0万元，占0%</w:t>
      </w:r>
      <w:r>
        <w:rPr>
          <w:rFonts w:hint="eastAsia" w:ascii="仿宋_GB2312" w:eastAsia="仿宋_GB2312" w:cs="仿宋_GB2312"/>
          <w:sz w:val="32"/>
          <w:szCs w:val="32"/>
          <w:lang w:eastAsia="zh-CN"/>
        </w:rPr>
        <w:t>。</w:t>
      </w:r>
    </w:p>
    <w:tbl>
      <w:tblPr>
        <w:tblStyle w:val="15"/>
        <w:tblW w:w="7032" w:type="dxa"/>
        <w:jc w:val="center"/>
        <w:tblInd w:w="0" w:type="dxa"/>
        <w:tblLayout w:type="fixed"/>
        <w:tblCellMar>
          <w:top w:w="0" w:type="dxa"/>
          <w:left w:w="108" w:type="dxa"/>
          <w:bottom w:w="0" w:type="dxa"/>
          <w:right w:w="108" w:type="dxa"/>
        </w:tblCellMar>
      </w:tblPr>
      <w:tblGrid>
        <w:gridCol w:w="1176"/>
        <w:gridCol w:w="976"/>
        <w:gridCol w:w="976"/>
        <w:gridCol w:w="976"/>
        <w:gridCol w:w="976"/>
        <w:gridCol w:w="976"/>
        <w:gridCol w:w="976"/>
      </w:tblGrid>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r>
              <w:rPr>
                <w:rFonts w:ascii="Arial" w:hAnsi="Arial" w:cs="Arial"/>
                <w:color w:val="000000"/>
                <w:kern w:val="0"/>
                <w:sz w:val="20"/>
                <w:szCs w:val="20"/>
              </w:rPr>
              <w:drawing>
                <wp:anchor distT="0" distB="0" distL="114300" distR="114300" simplePos="0" relativeHeight="251693056" behindDoc="0" locked="0" layoutInCell="1" allowOverlap="1">
                  <wp:simplePos x="0" y="0"/>
                  <wp:positionH relativeFrom="column">
                    <wp:posOffset>200025</wp:posOffset>
                  </wp:positionH>
                  <wp:positionV relativeFrom="paragraph">
                    <wp:posOffset>104775</wp:posOffset>
                  </wp:positionV>
                  <wp:extent cx="3990975" cy="2752725"/>
                  <wp:effectExtent l="0" t="635" r="0" b="0"/>
                  <wp:wrapNone/>
                  <wp:docPr id="10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tbl>
            <w:tblPr>
              <w:tblStyle w:val="15"/>
              <w:tblW w:w="960" w:type="dxa"/>
              <w:tblCellSpacing w:w="0" w:type="dxa"/>
              <w:tblInd w:w="0" w:type="dxa"/>
              <w:tblLayout w:type="fixed"/>
              <w:tblCellMar>
                <w:top w:w="0" w:type="dxa"/>
                <w:left w:w="0" w:type="dxa"/>
                <w:bottom w:w="0" w:type="dxa"/>
                <w:right w:w="0" w:type="dxa"/>
              </w:tblCellMar>
            </w:tblPr>
            <w:tblGrid>
              <w:gridCol w:w="960"/>
            </w:tblGrid>
            <w:tr>
              <w:tblPrEx>
                <w:tblLayout w:type="fixed"/>
                <w:tblCellMar>
                  <w:top w:w="0" w:type="dxa"/>
                  <w:left w:w="0" w:type="dxa"/>
                  <w:bottom w:w="0" w:type="dxa"/>
                  <w:right w:w="0" w:type="dxa"/>
                </w:tblCellMar>
              </w:tblPrEx>
              <w:trPr>
                <w:trHeight w:val="308" w:hRule="atLeast"/>
                <w:tblCellSpacing w:w="0" w:type="dxa"/>
              </w:trPr>
              <w:tc>
                <w:tcPr>
                  <w:tcW w:w="960"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bl>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308"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r>
        <w:tblPrEx>
          <w:tblLayout w:type="fixed"/>
          <w:tblCellMar>
            <w:top w:w="0" w:type="dxa"/>
            <w:left w:w="108" w:type="dxa"/>
            <w:bottom w:w="0" w:type="dxa"/>
            <w:right w:w="108" w:type="dxa"/>
          </w:tblCellMar>
        </w:tblPrEx>
        <w:trPr>
          <w:trHeight w:val="255" w:hRule="atLeast"/>
          <w:jc w:val="center"/>
        </w:trPr>
        <w:tc>
          <w:tcPr>
            <w:tcW w:w="11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c>
          <w:tcPr>
            <w:tcW w:w="976" w:type="dxa"/>
            <w:tcBorders>
              <w:top w:val="nil"/>
              <w:left w:val="nil"/>
              <w:bottom w:val="nil"/>
              <w:right w:val="nil"/>
            </w:tcBorders>
            <w:shd w:val="clear" w:color="auto" w:fill="auto"/>
            <w:vAlign w:val="bottom"/>
          </w:tcPr>
          <w:p>
            <w:pPr>
              <w:widowControl/>
              <w:spacing w:after="0" w:line="240" w:lineRule="auto"/>
              <w:jc w:val="left"/>
              <w:rPr>
                <w:rFonts w:ascii="Arial" w:hAnsi="Arial" w:cs="Arial"/>
                <w:color w:val="000000"/>
                <w:kern w:val="0"/>
                <w:sz w:val="20"/>
                <w:szCs w:val="20"/>
              </w:rPr>
            </w:pPr>
          </w:p>
        </w:tc>
      </w:tr>
    </w:tbl>
    <w:p>
      <w:pPr>
        <w:adjustRightInd w:val="0"/>
        <w:snapToGrid w:val="0"/>
        <w:spacing w:after="0" w:line="580" w:lineRule="exact"/>
        <w:jc w:val="center"/>
        <w:rPr>
          <w:rFonts w:hint="eastAsia" w:ascii="仿宋_GB2312" w:eastAsia="仿宋_GB2312" w:cs="DengXian-Regular"/>
          <w:sz w:val="32"/>
          <w:szCs w:val="32"/>
        </w:rPr>
      </w:pPr>
      <w:r>
        <w:rPr>
          <w:rFonts w:hint="eastAsia" w:ascii="仿宋_GB2312" w:eastAsia="仿宋_GB2312" w:cs="DengXian-Regular"/>
          <w:sz w:val="32"/>
          <w:szCs w:val="32"/>
        </w:rPr>
        <w:t>图5：财政拨款支出决算结构</w:t>
      </w:r>
    </w:p>
    <w:p>
      <w:pPr>
        <w:adjustRightInd w:val="0"/>
        <w:snapToGrid w:val="0"/>
        <w:spacing w:after="0" w:line="580" w:lineRule="exact"/>
        <w:jc w:val="center"/>
        <w:rPr>
          <w:rFonts w:ascii="宋体" w:hAnsi="宋体" w:cs="宋体"/>
          <w:b/>
          <w:bCs/>
          <w:sz w:val="32"/>
          <w:szCs w:val="32"/>
        </w:rPr>
      </w:pPr>
    </w:p>
    <w:p>
      <w:pPr>
        <w:adjustRightInd w:val="0"/>
        <w:snapToGrid w:val="0"/>
        <w:spacing w:after="0" w:line="580" w:lineRule="exact"/>
        <w:ind w:firstLine="440" w:firstLineChars="1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6950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880" w:firstLineChars="200"/>
        <w:rPr>
          <w:rFonts w:ascii="仿宋_GB2312" w:eastAsia="仿宋_GB2312" w:cs="DengXian-Regular"/>
          <w:sz w:val="32"/>
          <w:szCs w:val="32"/>
        </w:rPr>
      </w:pPr>
      <w:r>
        <w:rPr>
          <w:sz w:val="44"/>
        </w:rPr>
        <w:pict>
          <v:group id="_x0000_s1049" o:spid="_x0000_s1049"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v:rect id="矩形 13" o:spid="_x0000_s1051"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2018 年度一般公共预算财政拨款基本支出157.05万元，其中：人员经费8</w:t>
      </w:r>
      <w:r>
        <w:rPr>
          <w:rFonts w:hint="eastAsia" w:ascii="宋体" w:hAnsi="宋体" w:cs="宋体"/>
          <w:sz w:val="32"/>
          <w:szCs w:val="32"/>
        </w:rPr>
        <w:t>9.99</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67.06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5"/>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“三公”经费支出共计3.2万元，</w:t>
      </w:r>
      <w:r>
        <w:rPr>
          <w:rFonts w:hint="eastAsia" w:ascii="仿宋_GB2312" w:eastAsia="仿宋_GB2312" w:cs="DengXian-Regular"/>
          <w:b/>
          <w:bCs/>
          <w:sz w:val="32"/>
          <w:szCs w:val="32"/>
        </w:rPr>
        <w:t>较年初预算减少0.37万元，降低10%，</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052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本部门2018年度因公出国（境）团组0个、共0人/参加其他单位组织的因公出国（境）团组0个、共0人/无本单位组织的出国（境）团组。因公出国（境）费支出较年初预算无增减变化，未发生因公出国（境）费。</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3.1</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本部门2018年度公务用车购置及运行维护费较年初预算减少0.3万元，降低</w:t>
      </w:r>
      <w:r>
        <w:rPr>
          <w:rFonts w:hint="eastAsia" w:ascii="宋体" w:hAnsi="宋体" w:cs="宋体"/>
          <w:sz w:val="32"/>
          <w:szCs w:val="32"/>
        </w:rPr>
        <w:t>9</w:t>
      </w:r>
      <w:r>
        <w:rPr>
          <w:rFonts w:hint="eastAsia" w:ascii="仿宋_GB2312" w:eastAsia="仿宋_GB2312" w:cs="DengXian-Regular"/>
          <w:sz w:val="32"/>
          <w:szCs w:val="32"/>
        </w:rPr>
        <w:t>%,主要是认真贯彻落实中央八项规定精神和厉行节约要求，从严控制“三公”经费开支，全年实际支出比预算有所节约。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color w:val="000000" w:themeColor="text1"/>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本部门2018年度公务用车购置量0辆，发生“公务用车购置”经费支出0万元。公务用车购置费支出较年初预算无增减变化。未发生“‘公务用车购置’经费支出”。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本部门2018年度单位公务用车保有量1辆。公车运行维护费支出较年初预算减少0.3万元，降低</w:t>
      </w:r>
      <w:r>
        <w:rPr>
          <w:rFonts w:hint="eastAsia" w:ascii="宋体" w:hAnsi="宋体" w:cs="宋体"/>
          <w:sz w:val="32"/>
          <w:szCs w:val="32"/>
        </w:rPr>
        <w:t>9</w:t>
      </w:r>
      <w:r>
        <w:rPr>
          <w:rFonts w:hint="eastAsia" w:ascii="仿宋_GB2312" w:eastAsia="仿宋_GB2312" w:cs="DengXian-Regular"/>
          <w:sz w:val="32"/>
          <w:szCs w:val="32"/>
        </w:rPr>
        <w:t>%,主要是认真贯彻落实中央八项规定</w:t>
      </w:r>
      <w:bookmarkStart w:id="0" w:name="_GoBack"/>
      <w:bookmarkEnd w:id="0"/>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w:t>
      </w:r>
      <w:r>
        <w:rPr>
          <w:rFonts w:hint="eastAsia" w:ascii="宋体" w:hAnsi="宋体" w:cs="宋体"/>
          <w:b/>
          <w:bCs/>
          <w:sz w:val="32"/>
          <w:szCs w:val="32"/>
        </w:rPr>
        <w:t>.1</w:t>
      </w:r>
      <w:r>
        <w:rPr>
          <w:rFonts w:hint="eastAsia" w:ascii="楷体_GB2312" w:eastAsia="楷体_GB2312" w:cs="DengXian-Bold"/>
          <w:b/>
          <w:bCs/>
          <w:sz w:val="32"/>
          <w:szCs w:val="32"/>
        </w:rPr>
        <w:t>万元。</w:t>
      </w:r>
      <w:r>
        <w:rPr>
          <w:sz w:val="44"/>
        </w:rPr>
        <w:pict>
          <v:group id="_x0000_s1043" o:spid="_x0000_s1043" o:spt="203" style="position:absolute;left:0pt;margin-left:-0.55pt;margin-top:29.3pt;height:43.95pt;width:301.85pt;mso-position-horizontal-relative:page;mso-position-vertical-relative:page;z-index:25167155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本部门2018年度公务接待共26批次、50人次。公务接待费支出较年初预算减少0.07万元，降低41%,主要是认真贯彻落实中央八项规定精神和厉行节约要求，从严控制“三公”经费开支，全年实际支出比预算有所节约。</w:t>
      </w:r>
    </w:p>
    <w:p>
      <w:pPr>
        <w:pStyle w:val="5"/>
        <w:spacing w:before="0" w:after="0" w:line="580" w:lineRule="exact"/>
        <w:ind w:firstLine="640" w:firstLineChars="200"/>
        <w:rPr>
          <w:rFonts w:hint="eastAsia" w:ascii="黑体" w:eastAsia="黑体"/>
          <w:b w:val="0"/>
          <w:bCs w:val="0"/>
          <w:lang w:val="en-US" w:eastAsia="zh-CN"/>
        </w:rPr>
      </w:pPr>
      <w:r>
        <w:rPr>
          <w:rFonts w:hint="eastAsia" w:ascii="黑体" w:eastAsia="黑体"/>
          <w:b w:val="0"/>
          <w:bCs w:val="0"/>
        </w:rPr>
        <w:t>六、</w:t>
      </w:r>
      <w:r>
        <w:rPr>
          <w:rFonts w:hint="eastAsia" w:ascii="黑体" w:eastAsia="黑体"/>
          <w:b w:val="0"/>
          <w:bCs w:val="0"/>
          <w:lang w:val="en-US" w:eastAsia="zh-CN"/>
        </w:rPr>
        <w:t>绩效预算情况说明</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（二）预算项目绩效评价开展情况 根据预算绩效管理要求，本单位组织对2017年度一般公共预算项目支出全面开展绩效自评，涉及创建文明县城、卫生城等1个项目，涉及资金40万元。从评价情况看，评价结果为优秀.</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（三）预算项目绩效自评选例</w:t>
      </w:r>
    </w:p>
    <w:p>
      <w:pPr>
        <w:adjustRightInd w:val="0"/>
        <w:snapToGrid w:val="0"/>
        <w:spacing w:after="0" w:line="50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本单位无民生项目和重点支出项目。</w:t>
      </w:r>
    </w:p>
    <w:p>
      <w:pPr>
        <w:spacing w:line="480" w:lineRule="exact"/>
        <w:rPr>
          <w:rFonts w:ascii="仿宋" w:hAnsi="仿宋" w:eastAsia="仿宋" w:cs="仿宋"/>
          <w:spacing w:val="-6"/>
          <w:sz w:val="32"/>
          <w:szCs w:val="32"/>
        </w:rPr>
      </w:pPr>
    </w:p>
    <w:p>
      <w:pPr>
        <w:pStyle w:val="5"/>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6"/>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67.06</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50.65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309</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机构改革，人员增加，办公经费增加。</w:t>
      </w:r>
    </w:p>
    <w:p>
      <w:pPr>
        <w:pStyle w:val="6"/>
        <w:spacing w:before="0" w:after="0" w:line="580" w:lineRule="exact"/>
        <w:ind w:firstLine="643" w:firstLineChars="200"/>
        <w:rPr>
          <w:rFonts w:hint="eastAsia" w:ascii="楷体_GB2312" w:eastAsia="楷体_GB2312" w:cs="DengXian-Bold"/>
        </w:rPr>
      </w:pPr>
      <w:r>
        <w:rPr>
          <w:rFonts w:hint="eastAsia" w:ascii="楷体_GB2312" w:eastAsia="楷体_GB2312" w:cs="DengXian-Bold"/>
        </w:rPr>
        <w:t>（二）政府采购情况</w:t>
      </w:r>
    </w:p>
    <w:p>
      <w:pPr>
        <w:keepNext/>
        <w:keepLines/>
        <w:snapToGrid w:val="0"/>
        <w:spacing w:line="580" w:lineRule="exact"/>
        <w:ind w:firstLine="640" w:firstLineChars="200"/>
        <w:outlineLvl w:val="2"/>
        <w:rPr>
          <w:rFonts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本部门201</w:t>
      </w:r>
      <w:r>
        <w:rPr>
          <w:rFonts w:hint="eastAsia" w:ascii="仿宋_GB2312" w:eastAsia="仿宋_GB2312" w:cs="DengXian-Regular"/>
          <w:sz w:val="32"/>
          <w:szCs w:val="32"/>
          <w:lang w:val="en-US" w:eastAsia="zh-CN"/>
        </w:rPr>
        <w:t>8</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pStyle w:val="6"/>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辆，较上年无增减变化。其中，副部（省）级及以上领导用车0辆，主要领导干部用车0辆，机要通信用车0辆，应急保障用车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执法执勤用车0辆，特种专业技术用车0辆，离退休干部用车0辆，其他用车0辆，无其他用车；单位价值50万元以上通用设备0台（套），较上年无增减变化，单位价值100万元以上专用设备0台（套）比上年无增减变化。</w:t>
      </w:r>
    </w:p>
    <w:p>
      <w:pPr>
        <w:pStyle w:val="6"/>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widowControl/>
        <w:spacing w:line="580" w:lineRule="exact"/>
        <w:ind w:left="640" w:firstLine="640" w:firstLineChars="200"/>
        <w:rPr>
          <w:rFonts w:eastAsia="仿宋_GB2312"/>
          <w:sz w:val="32"/>
          <w:szCs w:val="32"/>
        </w:rPr>
      </w:pPr>
      <w:r>
        <w:rPr>
          <w:rFonts w:hint="eastAsia" w:ascii="仿宋_GB2312" w:eastAsia="仿宋_GB2312" w:cs="DengXian-Regular"/>
          <w:sz w:val="32"/>
          <w:szCs w:val="32"/>
        </w:rPr>
        <w:t>1、本部门2018年度无</w:t>
      </w:r>
      <w:r>
        <w:rPr>
          <w:rFonts w:eastAsia="仿宋_GB2312"/>
          <w:sz w:val="32"/>
          <w:szCs w:val="32"/>
        </w:rPr>
        <w:t>政府性基金预算财政拨款收入</w:t>
      </w:r>
      <w:r>
        <w:rPr>
          <w:rFonts w:hint="eastAsia" w:eastAsia="仿宋_GB2312"/>
          <w:sz w:val="32"/>
          <w:szCs w:val="32"/>
        </w:rPr>
        <w:t>、</w:t>
      </w:r>
      <w:r>
        <w:rPr>
          <w:rFonts w:eastAsia="仿宋_GB2312"/>
          <w:sz w:val="32"/>
          <w:szCs w:val="32"/>
        </w:rPr>
        <w:t>国有资本经营预算</w:t>
      </w:r>
      <w:r>
        <w:rPr>
          <w:rFonts w:hint="eastAsia" w:eastAsia="仿宋_GB2312"/>
          <w:sz w:val="32"/>
          <w:szCs w:val="32"/>
        </w:rPr>
        <w:t>财政拨款收入、</w:t>
      </w:r>
      <w:r>
        <w:rPr>
          <w:rFonts w:eastAsia="仿宋_GB2312"/>
          <w:sz w:val="32"/>
          <w:szCs w:val="32"/>
        </w:rPr>
        <w:t>政府采购情况</w:t>
      </w:r>
      <w:r>
        <w:rPr>
          <w:rFonts w:hint="eastAsia" w:eastAsia="仿宋_GB2312"/>
          <w:sz w:val="32"/>
          <w:szCs w:val="32"/>
        </w:rPr>
        <w:t>，</w:t>
      </w:r>
      <w:r>
        <w:rPr>
          <w:rFonts w:hint="eastAsia" w:ascii="仿宋_GB2312" w:eastAsia="仿宋_GB2312" w:cs="DengXian-Regular"/>
          <w:sz w:val="32"/>
          <w:szCs w:val="32"/>
        </w:rPr>
        <w:t>故08、0</w:t>
      </w:r>
      <w:r>
        <w:rPr>
          <w:rFonts w:hint="eastAsia" w:ascii="宋体" w:hAnsi="宋体" w:cs="宋体"/>
          <w:sz w:val="32"/>
          <w:szCs w:val="32"/>
        </w:rPr>
        <w:t>9、10</w:t>
      </w:r>
      <w:r>
        <w:rPr>
          <w:rFonts w:hint="eastAsia" w:ascii="仿宋_GB2312" w:eastAsia="仿宋_GB2312" w:cs="DengXian-Regular"/>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7360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5312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74624;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75648;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443AEE3E-D1DF-4028-AB18-B1575092D21E}"/>
  </w:font>
  <w:font w:name="黑体">
    <w:panose1 w:val="02010609060101010101"/>
    <w:charset w:val="86"/>
    <w:family w:val="auto"/>
    <w:pitch w:val="default"/>
    <w:sig w:usb0="800002BF" w:usb1="38CF7CFA" w:usb2="00000016" w:usb3="00000000" w:csb0="00040001" w:csb1="00000000"/>
    <w:embedRegular r:id="rId2" w:fontKey="{678735EB-66BF-46C1-BD23-0A80BF38E20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19F" w:csb1="00000000"/>
    <w:embedRegular r:id="rId3" w:fontKey="{13464F6C-C695-432D-ABE0-8DC7E9D684FD}"/>
  </w:font>
  <w:font w:name="楷体">
    <w:panose1 w:val="02010609060101010101"/>
    <w:charset w:val="86"/>
    <w:family w:val="modern"/>
    <w:pitch w:val="default"/>
    <w:sig w:usb0="800002BF" w:usb1="38CF7CFA" w:usb2="00000016" w:usb3="00000000" w:csb0="00040001" w:csb1="00000000"/>
    <w:embedRegular r:id="rId4" w:fontKey="{894B23E2-88BA-44C0-A1C8-1A8B5F198356}"/>
  </w:font>
  <w:font w:name="楷体_GB2312">
    <w:panose1 w:val="02010609030101010101"/>
    <w:charset w:val="86"/>
    <w:family w:val="modern"/>
    <w:pitch w:val="default"/>
    <w:sig w:usb0="00000000" w:usb1="00000000" w:usb2="00000000" w:usb3="00000000" w:csb0="00000000" w:csb1="00000000"/>
    <w:embedRegular r:id="rId5" w:fontKey="{5F90C396-532C-44A9-A89C-DF1BFBB44E91}"/>
  </w:font>
  <w:font w:name="仿宋_GB2312">
    <w:panose1 w:val="02010609030101010101"/>
    <w:charset w:val="86"/>
    <w:family w:val="modern"/>
    <w:pitch w:val="default"/>
    <w:sig w:usb0="00000000" w:usb1="00000000" w:usb2="00000000" w:usb3="00000000" w:csb0="00000000" w:csb1="00000000"/>
    <w:embedRegular r:id="rId6" w:fontKey="{5DAF244A-3E24-4532-9BC5-7DE0975D3891}"/>
  </w:font>
  <w:font w:name="ArialUnicodeMS">
    <w:altName w:val="Malgun Gothic"/>
    <w:panose1 w:val="00000000000000000000"/>
    <w:charset w:val="81"/>
    <w:family w:val="auto"/>
    <w:pitch w:val="default"/>
    <w:sig w:usb0="00000000" w:usb1="00000000" w:usb2="00000010" w:usb3="00000000" w:csb0="00080001" w:csb1="00000000"/>
    <w:embedRegular r:id="rId7" w:fontKey="{6003153B-47E0-4C9E-A1DC-75510DE870E2}"/>
  </w:font>
  <w:font w:name="仿宋">
    <w:panose1 w:val="02010609060101010101"/>
    <w:charset w:val="86"/>
    <w:family w:val="modern"/>
    <w:pitch w:val="default"/>
    <w:sig w:usb0="800002BF" w:usb1="38CF7CFA" w:usb2="00000016" w:usb3="00000000" w:csb0="00040001" w:csb1="00000000"/>
    <w:embedRegular r:id="rId8" w:fontKey="{F62FE946-5501-4131-B5DB-C945A8C0E9AA}"/>
  </w:font>
  <w:font w:name="MS-UIGothic,Bold">
    <w:altName w:val="Malgun Gothic"/>
    <w:panose1 w:val="00000000000000000000"/>
    <w:charset w:val="81"/>
    <w:family w:val="auto"/>
    <w:pitch w:val="default"/>
    <w:sig w:usb0="00000000" w:usb1="00000000" w:usb2="00000010" w:usb3="00000000" w:csb0="00080000" w:csb1="00000000"/>
    <w:embedRegular r:id="rId9" w:fontKey="{8DAFF1FC-6CB9-445C-A1AD-DA86B8EA67CA}"/>
  </w:font>
  <w:font w:name="DengXian-Regular">
    <w:altName w:val="宋体"/>
    <w:panose1 w:val="00000000000000000000"/>
    <w:charset w:val="86"/>
    <w:family w:val="auto"/>
    <w:pitch w:val="default"/>
    <w:sig w:usb0="00000000" w:usb1="00000000" w:usb2="00000010" w:usb3="00000000" w:csb0="00040001" w:csb1="00000000"/>
    <w:embedRegular r:id="rId10" w:fontKey="{4D592712-C16C-4808-B443-A4C928A10D42}"/>
  </w:font>
  <w:font w:name="DengXian-Bold">
    <w:altName w:val="宋体"/>
    <w:panose1 w:val="00000000000000000000"/>
    <w:charset w:val="86"/>
    <w:family w:val="auto"/>
    <w:pitch w:val="default"/>
    <w:sig w:usb0="00000000" w:usb1="00000000" w:usb2="00000010" w:usb3="00000000" w:csb0="00040001" w:csb1="00000000"/>
    <w:embedRegular r:id="rId11" w:fontKey="{84AF2EA6-555B-44DC-BB3B-4B61A907A56D}"/>
  </w:font>
  <w:font w:name="微软雅黑">
    <w:panose1 w:val="020B0503020204020204"/>
    <w:charset w:val="86"/>
    <w:family w:val="swiss"/>
    <w:pitch w:val="default"/>
    <w:sig w:usb0="80000287" w:usb1="280F3C52" w:usb2="00000016" w:usb3="00000000" w:csb0="0004001F" w:csb1="00000000"/>
    <w:embedRegular r:id="rId12" w:fontKey="{F8566360-84EE-4036-B5E2-F8B67855305D}"/>
  </w:font>
  <w:font w:name="___WRD_EMBED_SUB_47">
    <w:panose1 w:val="02010609030101010101"/>
    <w:charset w:val="86"/>
    <w:family w:val="modern"/>
    <w:pitch w:val="default"/>
    <w:sig w:usb0="00000000" w:usb1="00000000" w:usb2="00000000" w:usb3="00000000" w:csb0="00000000" w:csb1="00000000"/>
    <w:embedRegular r:id="rId13" w:fontKey="{BE560554-448D-4279-9DCF-600B8324997B}"/>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117946"/>
    <w:rsid w:val="00117E2C"/>
    <w:rsid w:val="00146C47"/>
    <w:rsid w:val="00152FB8"/>
    <w:rsid w:val="00160449"/>
    <w:rsid w:val="00176658"/>
    <w:rsid w:val="0018239E"/>
    <w:rsid w:val="001B3410"/>
    <w:rsid w:val="001C030D"/>
    <w:rsid w:val="001C4A84"/>
    <w:rsid w:val="001E026C"/>
    <w:rsid w:val="001E5902"/>
    <w:rsid w:val="00203C75"/>
    <w:rsid w:val="00233705"/>
    <w:rsid w:val="00275CA2"/>
    <w:rsid w:val="002A65A5"/>
    <w:rsid w:val="002B5BDD"/>
    <w:rsid w:val="002C04C4"/>
    <w:rsid w:val="002D08B0"/>
    <w:rsid w:val="002D1AE3"/>
    <w:rsid w:val="002F2ECE"/>
    <w:rsid w:val="003171E3"/>
    <w:rsid w:val="00341C8F"/>
    <w:rsid w:val="0035463A"/>
    <w:rsid w:val="00391D9D"/>
    <w:rsid w:val="00391E1D"/>
    <w:rsid w:val="003B6C51"/>
    <w:rsid w:val="003C1413"/>
    <w:rsid w:val="003C549F"/>
    <w:rsid w:val="003C5A0E"/>
    <w:rsid w:val="003D5A16"/>
    <w:rsid w:val="003E7DB3"/>
    <w:rsid w:val="003F7EC9"/>
    <w:rsid w:val="00431175"/>
    <w:rsid w:val="004A6D06"/>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53C1B"/>
    <w:rsid w:val="007905A9"/>
    <w:rsid w:val="00797CEB"/>
    <w:rsid w:val="007B56FD"/>
    <w:rsid w:val="007E5500"/>
    <w:rsid w:val="007E584B"/>
    <w:rsid w:val="007F055B"/>
    <w:rsid w:val="0080623C"/>
    <w:rsid w:val="0080644C"/>
    <w:rsid w:val="00811C2F"/>
    <w:rsid w:val="00832860"/>
    <w:rsid w:val="00833D46"/>
    <w:rsid w:val="00840A97"/>
    <w:rsid w:val="008B0727"/>
    <w:rsid w:val="008C0149"/>
    <w:rsid w:val="008D5DED"/>
    <w:rsid w:val="008E25CA"/>
    <w:rsid w:val="008F34FC"/>
    <w:rsid w:val="00944CD7"/>
    <w:rsid w:val="00947DFF"/>
    <w:rsid w:val="009831B2"/>
    <w:rsid w:val="009A1ABE"/>
    <w:rsid w:val="009E21A4"/>
    <w:rsid w:val="009F22C6"/>
    <w:rsid w:val="00A07E50"/>
    <w:rsid w:val="00A15397"/>
    <w:rsid w:val="00A3112D"/>
    <w:rsid w:val="00A35CE0"/>
    <w:rsid w:val="00A37CE5"/>
    <w:rsid w:val="00A4462E"/>
    <w:rsid w:val="00A44AA4"/>
    <w:rsid w:val="00A61623"/>
    <w:rsid w:val="00A70252"/>
    <w:rsid w:val="00A84687"/>
    <w:rsid w:val="00AB0A0E"/>
    <w:rsid w:val="00AD3B6E"/>
    <w:rsid w:val="00B10442"/>
    <w:rsid w:val="00B10733"/>
    <w:rsid w:val="00B1751F"/>
    <w:rsid w:val="00B54096"/>
    <w:rsid w:val="00B56722"/>
    <w:rsid w:val="00B74D39"/>
    <w:rsid w:val="00B8695E"/>
    <w:rsid w:val="00B91DA4"/>
    <w:rsid w:val="00BD4E55"/>
    <w:rsid w:val="00C12630"/>
    <w:rsid w:val="00C34562"/>
    <w:rsid w:val="00C3774E"/>
    <w:rsid w:val="00C45202"/>
    <w:rsid w:val="00C57456"/>
    <w:rsid w:val="00C65387"/>
    <w:rsid w:val="00C87FAB"/>
    <w:rsid w:val="00C91FF7"/>
    <w:rsid w:val="00C94E53"/>
    <w:rsid w:val="00CF602E"/>
    <w:rsid w:val="00D0048E"/>
    <w:rsid w:val="00D06921"/>
    <w:rsid w:val="00D23E7A"/>
    <w:rsid w:val="00D46931"/>
    <w:rsid w:val="00D61063"/>
    <w:rsid w:val="00D97E70"/>
    <w:rsid w:val="00DB35AF"/>
    <w:rsid w:val="00DC1E7E"/>
    <w:rsid w:val="00DD72D7"/>
    <w:rsid w:val="00DF5B88"/>
    <w:rsid w:val="00E0589E"/>
    <w:rsid w:val="00E1217D"/>
    <w:rsid w:val="00E241FA"/>
    <w:rsid w:val="00E2595E"/>
    <w:rsid w:val="00E35374"/>
    <w:rsid w:val="00E36F4B"/>
    <w:rsid w:val="00E37834"/>
    <w:rsid w:val="00E50C19"/>
    <w:rsid w:val="00E51E37"/>
    <w:rsid w:val="00E551F5"/>
    <w:rsid w:val="00E64655"/>
    <w:rsid w:val="00E73081"/>
    <w:rsid w:val="00E82869"/>
    <w:rsid w:val="00E856C9"/>
    <w:rsid w:val="00EB6A8B"/>
    <w:rsid w:val="00EF38C6"/>
    <w:rsid w:val="00F47752"/>
    <w:rsid w:val="00F6354A"/>
    <w:rsid w:val="00F679C7"/>
    <w:rsid w:val="00F7711A"/>
    <w:rsid w:val="00FA0D58"/>
    <w:rsid w:val="00FA56F4"/>
    <w:rsid w:val="00FB4EDA"/>
    <w:rsid w:val="00FD3BD5"/>
    <w:rsid w:val="00FD73C0"/>
    <w:rsid w:val="00FE3DC8"/>
    <w:rsid w:val="01775603"/>
    <w:rsid w:val="04073F84"/>
    <w:rsid w:val="0B60750A"/>
    <w:rsid w:val="0E384DC1"/>
    <w:rsid w:val="10686488"/>
    <w:rsid w:val="10DF728A"/>
    <w:rsid w:val="1264200E"/>
    <w:rsid w:val="141C5B77"/>
    <w:rsid w:val="15631CAD"/>
    <w:rsid w:val="18D8339D"/>
    <w:rsid w:val="1A21388F"/>
    <w:rsid w:val="1A570D2F"/>
    <w:rsid w:val="1D2478CC"/>
    <w:rsid w:val="275C0E28"/>
    <w:rsid w:val="27DF0AFF"/>
    <w:rsid w:val="28FB0B8D"/>
    <w:rsid w:val="2A9870FC"/>
    <w:rsid w:val="2D2B7942"/>
    <w:rsid w:val="2D46481D"/>
    <w:rsid w:val="2E733B28"/>
    <w:rsid w:val="31852B5A"/>
    <w:rsid w:val="32D01238"/>
    <w:rsid w:val="332967E2"/>
    <w:rsid w:val="37350A9B"/>
    <w:rsid w:val="376A5EAF"/>
    <w:rsid w:val="3DFC59A8"/>
    <w:rsid w:val="3ECF245E"/>
    <w:rsid w:val="3FB96314"/>
    <w:rsid w:val="47C83065"/>
    <w:rsid w:val="4AE76E52"/>
    <w:rsid w:val="506A5F1C"/>
    <w:rsid w:val="5319413C"/>
    <w:rsid w:val="53A44FAF"/>
    <w:rsid w:val="594329EC"/>
    <w:rsid w:val="5B4C6D22"/>
    <w:rsid w:val="5BEE1540"/>
    <w:rsid w:val="5DE61A5D"/>
    <w:rsid w:val="63C04243"/>
    <w:rsid w:val="649C01C7"/>
    <w:rsid w:val="665E78BB"/>
    <w:rsid w:val="66951450"/>
    <w:rsid w:val="683639BE"/>
    <w:rsid w:val="699A3F60"/>
    <w:rsid w:val="6B6955CB"/>
    <w:rsid w:val="72902E62"/>
    <w:rsid w:val="73C61104"/>
    <w:rsid w:val="74916605"/>
    <w:rsid w:val="76942C88"/>
    <w:rsid w:val="776452EA"/>
    <w:rsid w:val="78586E89"/>
    <w:rsid w:val="7D3B756D"/>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29"/>
    <w:qFormat/>
    <w:uiPriority w:val="9"/>
    <w:pPr>
      <w:keepNext/>
      <w:keepLines/>
      <w:spacing w:before="340" w:after="330" w:line="578" w:lineRule="auto"/>
      <w:outlineLvl w:val="0"/>
    </w:pPr>
    <w:rPr>
      <w:b/>
      <w:bCs/>
      <w:kern w:val="44"/>
      <w:sz w:val="44"/>
      <w:szCs w:val="44"/>
    </w:rPr>
  </w:style>
  <w:style w:type="paragraph" w:styleId="5">
    <w:name w:val="heading 2"/>
    <w:basedOn w:val="1"/>
    <w:next w:val="1"/>
    <w:link w:val="3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31"/>
    <w:unhideWhenUsed/>
    <w:qFormat/>
    <w:uiPriority w:val="9"/>
    <w:pPr>
      <w:keepNext/>
      <w:keepLines/>
      <w:spacing w:before="260" w:after="260" w:line="416" w:lineRule="auto"/>
      <w:outlineLvl w:val="2"/>
    </w:pPr>
    <w:rPr>
      <w:b/>
      <w:bCs/>
      <w:sz w:val="32"/>
      <w:szCs w:val="32"/>
    </w:rPr>
  </w:style>
  <w:style w:type="paragraph" w:styleId="7">
    <w:name w:val="heading 4"/>
    <w:basedOn w:val="1"/>
    <w:next w:val="1"/>
    <w:link w:val="3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unhideWhenUsed/>
    <w:qFormat/>
    <w:uiPriority w:val="1"/>
  </w:style>
  <w:style w:type="table" w:default="1" w:styleId="15">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99"/>
    <w:pPr>
      <w:spacing w:before="100" w:beforeAutospacing="1"/>
      <w:ind w:firstLine="420" w:firstLineChars="200"/>
    </w:pPr>
  </w:style>
  <w:style w:type="paragraph" w:styleId="3">
    <w:name w:val="Body Text Indent"/>
    <w:basedOn w:val="1"/>
    <w:qFormat/>
    <w:uiPriority w:val="99"/>
    <w:pPr>
      <w:spacing w:after="120"/>
      <w:ind w:left="420" w:leftChars="200"/>
    </w:pPr>
  </w:style>
  <w:style w:type="paragraph" w:styleId="8">
    <w:name w:val="Date"/>
    <w:basedOn w:val="1"/>
    <w:next w:val="1"/>
    <w:link w:val="33"/>
    <w:unhideWhenUsed/>
    <w:qFormat/>
    <w:uiPriority w:val="99"/>
    <w:pPr>
      <w:ind w:left="100" w:leftChars="2500"/>
    </w:pPr>
  </w:style>
  <w:style w:type="paragraph" w:styleId="9">
    <w:name w:val="Balloon Text"/>
    <w:basedOn w:val="1"/>
    <w:link w:val="21"/>
    <w:unhideWhenUsed/>
    <w:qFormat/>
    <w:uiPriority w:val="99"/>
    <w:rPr>
      <w:sz w:val="18"/>
      <w:szCs w:val="18"/>
    </w:rPr>
  </w:style>
  <w:style w:type="paragraph" w:styleId="10">
    <w:name w:val="footer"/>
    <w:basedOn w:val="1"/>
    <w:link w:val="1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1">
    <w:name w:val="header"/>
    <w:basedOn w:val="1"/>
    <w:link w:val="1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2">
    <w:name w:val="Subtitle"/>
    <w:basedOn w:val="1"/>
    <w:next w:val="1"/>
    <w:link w:val="23"/>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3">
    <w:name w:val="Title"/>
    <w:basedOn w:val="1"/>
    <w:next w:val="1"/>
    <w:link w:val="22"/>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6">
    <w:name w:val="Table Grid"/>
    <w:basedOn w:val="15"/>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7">
    <w:name w:val="页眉 Char"/>
    <w:basedOn w:val="14"/>
    <w:link w:val="11"/>
    <w:qFormat/>
    <w:uiPriority w:val="99"/>
    <w:rPr>
      <w:sz w:val="18"/>
      <w:szCs w:val="18"/>
    </w:rPr>
  </w:style>
  <w:style w:type="character" w:customStyle="1" w:styleId="18">
    <w:name w:val="页脚 Char"/>
    <w:basedOn w:val="14"/>
    <w:link w:val="10"/>
    <w:qFormat/>
    <w:uiPriority w:val="99"/>
    <w:rPr>
      <w:sz w:val="18"/>
      <w:szCs w:val="18"/>
    </w:rPr>
  </w:style>
  <w:style w:type="paragraph" w:customStyle="1" w:styleId="19">
    <w:name w:val="No Spacing"/>
    <w:link w:val="20"/>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20">
    <w:name w:val="无间隔 Char"/>
    <w:basedOn w:val="14"/>
    <w:link w:val="19"/>
    <w:qFormat/>
    <w:uiPriority w:val="1"/>
    <w:rPr>
      <w:kern w:val="0"/>
      <w:sz w:val="22"/>
    </w:rPr>
  </w:style>
  <w:style w:type="character" w:customStyle="1" w:styleId="21">
    <w:name w:val="批注框文本 Char"/>
    <w:basedOn w:val="14"/>
    <w:link w:val="9"/>
    <w:semiHidden/>
    <w:qFormat/>
    <w:uiPriority w:val="99"/>
    <w:rPr>
      <w:rFonts w:ascii="Times New Roman" w:hAnsi="Times New Roman" w:eastAsia="宋体" w:cs="Times New Roman"/>
      <w:sz w:val="18"/>
      <w:szCs w:val="18"/>
    </w:rPr>
  </w:style>
  <w:style w:type="character" w:customStyle="1" w:styleId="22">
    <w:name w:val="标题 Char"/>
    <w:basedOn w:val="14"/>
    <w:link w:val="13"/>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3">
    <w:name w:val="副标题 Char"/>
    <w:basedOn w:val="14"/>
    <w:link w:val="12"/>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4">
    <w:name w:val="Style1"/>
    <w:basedOn w:val="14"/>
    <w:qFormat/>
    <w:uiPriority w:val="1"/>
    <w:rPr>
      <w:rFonts w:asciiTheme="minorHAnsi" w:hAnsiTheme="minorEastAsia" w:eastAsiaTheme="minorEastAsia" w:cstheme="minorBidi"/>
      <w:sz w:val="22"/>
      <w:szCs w:val="22"/>
      <w:lang w:eastAsia="zh-CN"/>
    </w:rPr>
  </w:style>
  <w:style w:type="character" w:customStyle="1" w:styleId="25">
    <w:name w:val="Style2"/>
    <w:basedOn w:val="14"/>
    <w:qFormat/>
    <w:uiPriority w:val="1"/>
    <w:rPr>
      <w:rFonts w:asciiTheme="minorHAnsi" w:hAnsiTheme="minorEastAsia" w:eastAsiaTheme="minorEastAsia" w:cstheme="minorBidi"/>
      <w:sz w:val="22"/>
      <w:szCs w:val="22"/>
      <w:lang w:eastAsia="zh-CN"/>
    </w:rPr>
  </w:style>
  <w:style w:type="character" w:customStyle="1" w:styleId="26">
    <w:name w:val="Style3"/>
    <w:basedOn w:val="14"/>
    <w:qFormat/>
    <w:uiPriority w:val="1"/>
    <w:rPr>
      <w:rFonts w:asciiTheme="minorHAnsi" w:hAnsiTheme="minorEastAsia" w:eastAsiaTheme="minorEastAsia" w:cstheme="minorBidi"/>
      <w:szCs w:val="22"/>
      <w:lang w:eastAsia="zh-CN"/>
    </w:rPr>
  </w:style>
  <w:style w:type="character" w:customStyle="1" w:styleId="27">
    <w:name w:val="Style4"/>
    <w:basedOn w:val="14"/>
    <w:qFormat/>
    <w:uiPriority w:val="1"/>
    <w:rPr>
      <w:rFonts w:asciiTheme="minorHAnsi" w:hAnsiTheme="minorEastAsia" w:eastAsiaTheme="minorEastAsia" w:cstheme="minorBidi"/>
      <w:szCs w:val="22"/>
      <w:lang w:eastAsia="zh-CN"/>
    </w:rPr>
  </w:style>
  <w:style w:type="character" w:customStyle="1" w:styleId="28">
    <w:name w:val="Style5"/>
    <w:basedOn w:val="14"/>
    <w:qFormat/>
    <w:uiPriority w:val="1"/>
    <w:rPr>
      <w:rFonts w:asciiTheme="minorHAnsi" w:hAnsiTheme="minorEastAsia" w:eastAsiaTheme="minorEastAsia" w:cstheme="minorBidi"/>
      <w:sz w:val="22"/>
      <w:szCs w:val="22"/>
      <w:lang w:eastAsia="zh-CN"/>
    </w:rPr>
  </w:style>
  <w:style w:type="character" w:customStyle="1" w:styleId="29">
    <w:name w:val="标题 1 Char"/>
    <w:basedOn w:val="14"/>
    <w:link w:val="4"/>
    <w:qFormat/>
    <w:uiPriority w:val="9"/>
    <w:rPr>
      <w:rFonts w:ascii="Times New Roman" w:hAnsi="Times New Roman" w:eastAsia="宋体" w:cs="Times New Roman"/>
      <w:b/>
      <w:bCs/>
      <w:kern w:val="44"/>
      <w:sz w:val="44"/>
      <w:szCs w:val="44"/>
    </w:rPr>
  </w:style>
  <w:style w:type="character" w:customStyle="1" w:styleId="30">
    <w:name w:val="标题 2 Char"/>
    <w:basedOn w:val="14"/>
    <w:link w:val="5"/>
    <w:qFormat/>
    <w:uiPriority w:val="9"/>
    <w:rPr>
      <w:rFonts w:asciiTheme="majorHAnsi" w:hAnsiTheme="majorHAnsi" w:eastAsiaTheme="majorEastAsia" w:cstheme="majorBidi"/>
      <w:b/>
      <w:bCs/>
      <w:sz w:val="32"/>
      <w:szCs w:val="32"/>
    </w:rPr>
  </w:style>
  <w:style w:type="character" w:customStyle="1" w:styleId="31">
    <w:name w:val="标题 3 Char"/>
    <w:basedOn w:val="14"/>
    <w:link w:val="6"/>
    <w:qFormat/>
    <w:uiPriority w:val="9"/>
    <w:rPr>
      <w:rFonts w:ascii="Times New Roman" w:hAnsi="Times New Roman" w:eastAsia="宋体" w:cs="Times New Roman"/>
      <w:b/>
      <w:bCs/>
      <w:sz w:val="32"/>
      <w:szCs w:val="32"/>
    </w:rPr>
  </w:style>
  <w:style w:type="character" w:customStyle="1" w:styleId="32">
    <w:name w:val="标题 4 Char"/>
    <w:basedOn w:val="14"/>
    <w:link w:val="7"/>
    <w:qFormat/>
    <w:uiPriority w:val="9"/>
    <w:rPr>
      <w:rFonts w:asciiTheme="majorHAnsi" w:hAnsiTheme="majorHAnsi" w:eastAsiaTheme="majorEastAsia" w:cstheme="majorBidi"/>
      <w:b/>
      <w:bCs/>
      <w:sz w:val="28"/>
      <w:szCs w:val="28"/>
    </w:rPr>
  </w:style>
  <w:style w:type="character" w:customStyle="1" w:styleId="33">
    <w:name w:val="日期 Char"/>
    <w:basedOn w:val="14"/>
    <w:link w:val="8"/>
    <w:semiHidden/>
    <w:qFormat/>
    <w:uiPriority w:val="99"/>
    <w:rPr>
      <w:rFonts w:ascii="Times New Roman" w:hAnsi="Times New Roman" w:eastAsia="宋体" w:cs="Times New Roman"/>
      <w:szCs w:val="24"/>
    </w:rPr>
  </w:style>
  <w:style w:type="paragraph" w:customStyle="1" w:styleId="3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G:\&#23459;&#20256;&#37096;2018&#24180;&#20915;&#31639;&#20844;&#24320;\&#23459;&#20256;&#37096;&#20915;&#31639;1\2018&#39640;&#37009;&#21439;&#23459;&#20256;&#37096;.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23459;&#20256;&#37096;2018&#24180;&#20915;&#31639;&#20844;&#24320;\&#23459;&#20256;&#37096;&#20915;&#31639;1\2018&#39640;&#37009;&#21439;&#23459;&#20256;&#37096;.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6032;&#24314;%20Excel%202007.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6032;&#24314;%20Excel%202007.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23459;&#20256;&#37096;2018&#24180;&#20915;&#31639;&#20844;&#24320;\&#23459;&#20256;&#37096;&#20915;&#31639;1\2018&#39640;&#37009;&#21439;&#23459;&#20256;&#37096;.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dPt>
          <c:dLbls>
            <c:dLbl>
              <c:idx val="1"/>
              <c:layout>
                <c:manualLayout>
                  <c:x val="-0.274328083989501"/>
                  <c:y val="0.11689814814814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62477471566054"/>
                  <c:y val="0.15856481481481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'Z03 收入决算表(公开02表)'!$F$4:$I$8</c:f>
              <c:strCache>
                <c:ptCount val="3"/>
                <c:pt idx="0">
                  <c:v>财政拨款收入</c:v>
                </c:pt>
                <c:pt idx="1">
                  <c:v>事业收入</c:v>
                </c:pt>
                <c:pt idx="2">
                  <c:v>经营收入</c:v>
                </c:pt>
              </c:strCache>
            </c:strRef>
          </c:cat>
          <c:val>
            <c:numRef>
              <c:f>'Z03 收入决算表(公开02表)'!$F$9:$I$9</c:f>
              <c:numCache>
                <c:formatCode>#,##0.00</c:formatCode>
                <c:ptCount val="3"/>
                <c:pt idx="0">
                  <c:v>283.22</c:v>
                </c:pt>
                <c:pt idx="1">
                  <c:v>0</c:v>
                </c:pt>
                <c:pt idx="2">
                  <c:v>0</c:v>
                </c:pt>
              </c:numCache>
            </c:numRef>
          </c:val>
        </c:ser>
        <c:dLbls>
          <c:showLegendKey val="0"/>
          <c:showVal val="0"/>
          <c:showCatName val="1"/>
          <c:showSerName val="0"/>
          <c:showPercent val="1"/>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'Z04 支出决算表(公开03表)'!$F$4:$G$8</c:f>
              <c:strCache>
                <c:ptCount val="2"/>
                <c:pt idx="0">
                  <c:v>基本支出</c:v>
                </c:pt>
                <c:pt idx="1">
                  <c:v>项目支出</c:v>
                </c:pt>
              </c:strCache>
            </c:strRef>
          </c:cat>
          <c:val>
            <c:numRef>
              <c:f>'Z04 支出决算表(公开03表)'!$F$9:$G$9</c:f>
              <c:numCache>
                <c:formatCode>#,##0.00</c:formatCode>
                <c:ptCount val="2"/>
                <c:pt idx="0">
                  <c:v>157.05</c:v>
                </c:pt>
                <c:pt idx="1">
                  <c:v>121.64</c:v>
                </c:pt>
              </c:numCache>
            </c:numRef>
          </c:val>
        </c:ser>
        <c:dLbls>
          <c:showLegendKey val="0"/>
          <c:showVal val="0"/>
          <c:showCatName val="1"/>
          <c:showSerName val="0"/>
          <c:showPercent val="1"/>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Sheet1!$A$1:$D$1</c:f>
              <c:strCache>
                <c:ptCount val="4"/>
                <c:pt idx="0">
                  <c:v>2018年收入</c:v>
                </c:pt>
                <c:pt idx="1">
                  <c:v>2017年收入</c:v>
                </c:pt>
                <c:pt idx="2">
                  <c:v>2018年支出</c:v>
                </c:pt>
                <c:pt idx="3">
                  <c:v>2017年支出</c:v>
                </c:pt>
              </c:strCache>
            </c:strRef>
          </c:cat>
          <c:val>
            <c:numRef>
              <c:f>Sheet1!$A$2:$D$2</c:f>
              <c:numCache>
                <c:formatCode>General</c:formatCode>
                <c:ptCount val="4"/>
                <c:pt idx="0">
                  <c:v>283.22</c:v>
                </c:pt>
                <c:pt idx="1">
                  <c:v>195.13</c:v>
                </c:pt>
                <c:pt idx="2">
                  <c:v>278.69</c:v>
                </c:pt>
                <c:pt idx="3">
                  <c:v>194.24</c:v>
                </c:pt>
              </c:numCache>
            </c:numRef>
          </c:val>
        </c:ser>
        <c:dLbls>
          <c:showLegendKey val="0"/>
          <c:showVal val="1"/>
          <c:showCatName val="0"/>
          <c:showSerName val="0"/>
          <c:showPercent val="0"/>
          <c:showBubbleSize val="0"/>
        </c:dLbls>
        <c:gapWidth val="150"/>
        <c:axId val="124599680"/>
        <c:axId val="134903680"/>
      </c:barChart>
      <c:catAx>
        <c:axId val="124599680"/>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4903680"/>
        <c:crosses val="autoZero"/>
        <c:auto val="1"/>
        <c:lblAlgn val="ctr"/>
        <c:lblOffset val="100"/>
        <c:noMultiLvlLbl val="0"/>
      </c:catAx>
      <c:valAx>
        <c:axId val="134903680"/>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4599680"/>
        <c:crosses val="autoZero"/>
        <c:crossBetween val="between"/>
      </c:valAx>
    </c:plotArea>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Sheet1!$N$1:$Q$1</c:f>
              <c:strCache>
                <c:ptCount val="4"/>
                <c:pt idx="0">
                  <c:v>收入预算数</c:v>
                </c:pt>
                <c:pt idx="1">
                  <c:v>收入决算数</c:v>
                </c:pt>
                <c:pt idx="2">
                  <c:v>支出预算数</c:v>
                </c:pt>
                <c:pt idx="3">
                  <c:v>支出决算数</c:v>
                </c:pt>
              </c:strCache>
            </c:strRef>
          </c:cat>
          <c:val>
            <c:numRef>
              <c:f>Sheet1!$N$2:$Q$2</c:f>
              <c:numCache>
                <c:formatCode>General</c:formatCode>
                <c:ptCount val="4"/>
                <c:pt idx="0">
                  <c:v>162.49</c:v>
                </c:pt>
                <c:pt idx="1">
                  <c:v>283.22</c:v>
                </c:pt>
                <c:pt idx="2">
                  <c:v>162.49</c:v>
                </c:pt>
                <c:pt idx="3">
                  <c:v>278.69</c:v>
                </c:pt>
              </c:numCache>
            </c:numRef>
          </c:val>
        </c:ser>
        <c:dLbls>
          <c:showLegendKey val="0"/>
          <c:showVal val="1"/>
          <c:showCatName val="0"/>
          <c:showSerName val="0"/>
          <c:showPercent val="0"/>
          <c:showBubbleSize val="0"/>
        </c:dLbls>
        <c:gapWidth val="150"/>
        <c:axId val="160506240"/>
        <c:axId val="160508544"/>
      </c:barChart>
      <c:catAx>
        <c:axId val="160506240"/>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508544"/>
        <c:crosses val="autoZero"/>
        <c:auto val="1"/>
        <c:lblAlgn val="ctr"/>
        <c:lblOffset val="100"/>
        <c:noMultiLvlLbl val="0"/>
      </c:catAx>
      <c:valAx>
        <c:axId val="160508544"/>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506240"/>
        <c:crosses val="autoZero"/>
        <c:crossBetween val="between"/>
      </c:valAx>
    </c:plotArea>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'Z07 一般公共预算财政拨款支出决算表(公开05表)'!$D$10</c:f>
              <c:strCache>
                <c:ptCount val="1"/>
                <c:pt idx="0">
                  <c:v>一般公共服务支出</c:v>
                </c:pt>
              </c:strCache>
            </c:strRef>
          </c:cat>
          <c:val>
            <c:numRef>
              <c:f>'Z07 一般公共预算财政拨款支出决算表(公开05表)'!$E$10</c:f>
              <c:numCache>
                <c:formatCode>#,##0.00</c:formatCode>
                <c:ptCount val="1"/>
                <c:pt idx="0">
                  <c:v>278.69</c:v>
                </c:pt>
              </c:numCache>
            </c:numRef>
          </c:val>
        </c:ser>
        <c:dLbls>
          <c:showLegendKey val="0"/>
          <c:showVal val="0"/>
          <c:showCatName val="1"/>
          <c:showSerName val="0"/>
          <c:showPercent val="1"/>
          <c:showBubbleSize val="0"/>
          <c:showLeaderLines val="1"/>
        </c:dLbls>
        <c:firstSliceAng val="0"/>
      </c:pieChart>
      <c:spPr>
        <a:noFill/>
        <a:ln w="25400">
          <a:noFill/>
        </a:ln>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072"/>
    <customShpInfo spid="_x0000_s1071"/>
    <customShpInfo spid="_x0000_s1070"/>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37BE8CF0-9AA3-4679-B5B1-F652D3527FF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32</Pages>
  <Words>1557</Words>
  <Characters>8875</Characters>
  <Lines>73</Lines>
  <Paragraphs>20</Paragraphs>
  <TotalTime>6</TotalTime>
  <ScaleCrop>false</ScaleCrop>
  <LinksUpToDate>false</LinksUpToDate>
  <CharactersWithSpaces>10412</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2019-10-28T06:25:00Z</dcterms:created>
  <dc:creator>User</dc:creator>
  <cp:lastModifiedBy>刘先生</cp:lastModifiedBy>
  <cp:lastPrinted>2019-08-02T01:01:00Z</cp:lastPrinted>
  <dcterms:modified xsi:type="dcterms:W3CDTF">2021-09-27T08:31:20Z</dcterms:modified>
  <dc:subject>石家庄市xxx部门</dc:subject>
  <dc:title>2017年度部门决算</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