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387F" w:rsidRDefault="00086B43">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8" cstate="print"/>
                    <a:stretch>
                      <a:fillRect/>
                    </a:stretch>
                  </pic:blipFill>
                  <pic:spPr>
                    <a:xfrm>
                      <a:off x="0" y="0"/>
                      <a:ext cx="7576820" cy="10796905"/>
                    </a:xfrm>
                    <a:prstGeom prst="rect">
                      <a:avLst/>
                    </a:prstGeom>
                  </pic:spPr>
                </pic:pic>
              </a:graphicData>
            </a:graphic>
          </wp:anchor>
        </w:drawing>
      </w:r>
    </w:p>
    <w:p w:rsidR="0037387F" w:rsidRDefault="0037387F">
      <w:pPr>
        <w:widowControl/>
        <w:jc w:val="center"/>
        <w:rPr>
          <w:rFonts w:asciiTheme="minorEastAsia" w:eastAsiaTheme="minorEastAsia" w:hAnsi="宋体"/>
          <w:color w:val="002060"/>
          <w:sz w:val="72"/>
          <w:szCs w:val="72"/>
        </w:rPr>
      </w:pPr>
      <w:r w:rsidRPr="0037387F">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5408;mso-width-relative:page;mso-height-relative:page"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filled="f" stroked="f" strokeweight=".5pt">
            <v:textbox>
              <w:txbxContent>
                <w:p w:rsidR="0037387F" w:rsidRDefault="00086B4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高邑县文物保管所</w:t>
                  </w:r>
                </w:p>
                <w:p w:rsidR="0037387F" w:rsidRDefault="00086B43">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37387F" w:rsidRDefault="0037387F">
                  <w:pPr>
                    <w:rPr>
                      <w:color w:val="FDEFBE"/>
                      <w:sz w:val="96"/>
                      <w:szCs w:val="96"/>
                    </w:rPr>
                  </w:pPr>
                </w:p>
              </w:txbxContent>
            </v:textbox>
          </v:shape>
        </w:pict>
      </w: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Theme="minorEastAsia" w:eastAsiaTheme="minorEastAsia" w:hAnsiTheme="minorEastAsia"/>
          <w:b/>
          <w:sz w:val="72"/>
          <w:szCs w:val="72"/>
        </w:rPr>
      </w:pPr>
    </w:p>
    <w:p w:rsidR="0037387F" w:rsidRDefault="0037387F">
      <w:pPr>
        <w:widowControl/>
        <w:jc w:val="center"/>
        <w:rPr>
          <w:rFonts w:ascii="楷体" w:eastAsia="楷体" w:hAnsi="楷体" w:cs="楷体"/>
          <w:b/>
          <w:sz w:val="40"/>
          <w:szCs w:val="40"/>
        </w:rPr>
      </w:pPr>
    </w:p>
    <w:p w:rsidR="0037387F" w:rsidRDefault="00086B43">
      <w:pPr>
        <w:widowControl/>
        <w:jc w:val="center"/>
        <w:rPr>
          <w:rFonts w:ascii="楷体_GB2312" w:eastAsia="楷体_GB2312" w:hAnsi="楷体" w:cs="楷体"/>
          <w:b/>
          <w:sz w:val="40"/>
          <w:szCs w:val="40"/>
        </w:rPr>
        <w:sectPr w:rsidR="0037387F">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一九年十</w:t>
      </w:r>
      <w:r>
        <w:rPr>
          <w:rFonts w:ascii="楷体_GB2312" w:eastAsia="楷体_GB2312" w:hAnsi="楷体" w:cs="楷体" w:hint="eastAsia"/>
          <w:b/>
          <w:sz w:val="40"/>
          <w:szCs w:val="40"/>
        </w:rPr>
        <w:t>月八日</w:t>
      </w:r>
    </w:p>
    <w:p w:rsidR="0037387F" w:rsidRDefault="0037387F" w:rsidP="0037387F">
      <w:pPr>
        <w:spacing w:beforeLines="200" w:after="0" w:line="1000" w:lineRule="exact"/>
        <w:jc w:val="center"/>
        <w:rPr>
          <w:rFonts w:ascii="黑体" w:eastAsia="黑体"/>
          <w:sz w:val="48"/>
          <w:szCs w:val="48"/>
        </w:rPr>
      </w:pPr>
      <w:r w:rsidRPr="0037387F">
        <w:rPr>
          <w:sz w:val="48"/>
          <w:szCs w:val="28"/>
        </w:rPr>
        <w:lastRenderedPageBreak/>
        <w:pict>
          <v:group id="_x0000_s1100" style="position:absolute;left:0;text-align:left;margin-left:-80.8pt;margin-top:39.95pt;width:250.05pt;height:46.7pt;z-index:251673600;mso-position-vertical-relative:page" coordorigin="4551,52615" coordsize="8546,1398203203"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allowoverlap="f">
            <v:rect id="矩形 13" o:spid="_x0000_s1102" style="position:absolute;left:4551;top:52615;width:8546;height:1175;v-text-anchor:middle"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fillcolor="#d9d9d9" stroked="f" strokeweight="2pt"/>
            <v:rect id="矩形 14" o:spid="_x0000_s1101" style="position:absolute;left:4577;top:52890;width:8324;height:1123;v-text-anchor:middle"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fillcolor="#ad002d" strokecolor="#b0761f" strokeweight="2pt">
              <v:stroke joinstyle="round"/>
              <v:textbox>
                <w:txbxContent>
                  <w:p w:rsidR="0037387F" w:rsidRDefault="00086B43">
                    <w:pPr>
                      <w:widowControl/>
                      <w:jc w:val="left"/>
                      <w:rPr>
                        <w:rFonts w:ascii="楷体" w:eastAsia="楷体" w:hAnsi="楷体" w:cs="楷体"/>
                        <w:b/>
                        <w:bCs/>
                        <w:color w:val="FDEFBE"/>
                        <w:sz w:val="36"/>
                        <w:szCs w:val="36"/>
                      </w:rPr>
                    </w:pPr>
                    <w:r>
                      <w:rPr>
                        <w:rFonts w:ascii="楷体" w:eastAsia="楷体" w:hAnsi="楷体" w:cs="楷体" w:hint="eastAsia"/>
                        <w:b/>
                        <w:bCs/>
                        <w:color w:val="FDEFBE"/>
                        <w:kern w:val="0"/>
                        <w:sz w:val="36"/>
                        <w:szCs w:val="36"/>
                      </w:rPr>
                      <w:t>2018</w:t>
                    </w:r>
                    <w:r>
                      <w:rPr>
                        <w:rFonts w:ascii="楷体" w:eastAsia="楷体" w:hAnsi="楷体" w:cs="楷体" w:hint="eastAsia"/>
                        <w:b/>
                        <w:bCs/>
                        <w:color w:val="FDEFBE"/>
                        <w:kern w:val="0"/>
                        <w:sz w:val="36"/>
                        <w:szCs w:val="36"/>
                      </w:rPr>
                      <w:t>年度部门决算☞目</w:t>
                    </w:r>
                    <w:r>
                      <w:rPr>
                        <w:rFonts w:ascii="楷体" w:eastAsia="楷体" w:hAnsi="楷体" w:cs="楷体" w:hint="eastAsia"/>
                        <w:b/>
                        <w:bCs/>
                        <w:color w:val="FDEFBE"/>
                        <w:kern w:val="0"/>
                        <w:sz w:val="36"/>
                        <w:szCs w:val="36"/>
                      </w:rPr>
                      <w:t xml:space="preserve"> </w:t>
                    </w:r>
                    <w:r>
                      <w:rPr>
                        <w:rFonts w:ascii="楷体" w:eastAsia="楷体" w:hAnsi="楷体" w:cs="楷体" w:hint="eastAsia"/>
                        <w:b/>
                        <w:bCs/>
                        <w:color w:val="FDEFBE"/>
                        <w:kern w:val="0"/>
                        <w:sz w:val="36"/>
                        <w:szCs w:val="36"/>
                      </w:rPr>
                      <w:t>录</w:t>
                    </w:r>
                  </w:p>
                  <w:p w:rsidR="0037387F" w:rsidRDefault="0037387F">
                    <w:pPr>
                      <w:jc w:val="center"/>
                    </w:pPr>
                  </w:p>
                </w:txbxContent>
              </v:textbox>
            </v:rect>
            <w10:wrap anchory="page"/>
            <w10:anchorlock/>
          </v:group>
        </w:pict>
      </w:r>
      <w:r w:rsidR="00086B43">
        <w:rPr>
          <w:rFonts w:ascii="黑体" w:eastAsia="黑体" w:hint="eastAsia"/>
          <w:sz w:val="48"/>
          <w:szCs w:val="48"/>
        </w:rPr>
        <w:t>目</w:t>
      </w:r>
      <w:r w:rsidR="00086B43">
        <w:rPr>
          <w:rFonts w:ascii="黑体" w:eastAsia="黑体" w:hint="eastAsia"/>
          <w:sz w:val="48"/>
          <w:szCs w:val="48"/>
        </w:rPr>
        <w:t xml:space="preserve">    </w:t>
      </w:r>
      <w:r w:rsidR="00086B43">
        <w:rPr>
          <w:rFonts w:ascii="黑体" w:eastAsia="黑体" w:hint="eastAsia"/>
          <w:sz w:val="48"/>
          <w:szCs w:val="48"/>
        </w:rPr>
        <w:t>录</w:t>
      </w:r>
    </w:p>
    <w:p w:rsidR="0037387F" w:rsidRDefault="0037387F">
      <w:pPr>
        <w:widowControl/>
        <w:spacing w:line="580" w:lineRule="exact"/>
        <w:ind w:firstLineChars="200" w:firstLine="640"/>
        <w:rPr>
          <w:rFonts w:eastAsia="黑体"/>
          <w:sz w:val="32"/>
          <w:szCs w:val="32"/>
        </w:rPr>
      </w:pPr>
    </w:p>
    <w:p w:rsidR="0037387F" w:rsidRDefault="00086B43">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高邑县文物保管所</w:t>
      </w:r>
      <w:r>
        <w:rPr>
          <w:rFonts w:eastAsia="黑体"/>
          <w:sz w:val="32"/>
          <w:szCs w:val="32"/>
        </w:rPr>
        <w:t>部门概况</w:t>
      </w:r>
      <w:r>
        <w:rPr>
          <w:rFonts w:eastAsia="仿宋_GB2312" w:hint="eastAsia"/>
          <w:sz w:val="28"/>
          <w:szCs w:val="36"/>
        </w:rPr>
        <w:t xml:space="preserve">  </w:t>
      </w:r>
      <w:r>
        <w:rPr>
          <w:rFonts w:eastAsia="仿宋_GB2312" w:hint="eastAsia"/>
          <w:sz w:val="24"/>
          <w:szCs w:val="32"/>
        </w:rPr>
        <w:t xml:space="preserve"> </w:t>
      </w:r>
    </w:p>
    <w:p w:rsidR="0037387F" w:rsidRDefault="00086B43" w:rsidP="0037387F">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37387F" w:rsidRDefault="00086B43" w:rsidP="0037387F">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37387F" w:rsidRDefault="00086B43">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高邑县文物保管所</w:t>
      </w:r>
      <w:r>
        <w:rPr>
          <w:rFonts w:eastAsia="黑体"/>
          <w:sz w:val="32"/>
          <w:szCs w:val="32"/>
        </w:rPr>
        <w:t>201</w:t>
      </w:r>
      <w:r>
        <w:rPr>
          <w:rFonts w:eastAsia="黑体" w:hint="eastAsia"/>
          <w:sz w:val="32"/>
          <w:szCs w:val="32"/>
        </w:rPr>
        <w:t>8</w:t>
      </w:r>
      <w:r>
        <w:rPr>
          <w:rFonts w:eastAsia="黑体"/>
          <w:sz w:val="32"/>
          <w:szCs w:val="32"/>
        </w:rPr>
        <w:t>年度部门决算报表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二、收入决算表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三、支出决算表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37387F" w:rsidRDefault="00086B43">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37387F" w:rsidRDefault="00086B43">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37387F" w:rsidRDefault="00086B43">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37387F" w:rsidRDefault="0037387F">
      <w:pPr>
        <w:widowControl/>
        <w:spacing w:line="580" w:lineRule="exact"/>
        <w:ind w:firstLineChars="200" w:firstLine="640"/>
        <w:rPr>
          <w:rFonts w:eastAsia="黑体"/>
          <w:sz w:val="32"/>
          <w:szCs w:val="32"/>
        </w:rPr>
      </w:pPr>
    </w:p>
    <w:p w:rsidR="0037387F" w:rsidRDefault="00086B43">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高邑县文物保管所</w:t>
      </w:r>
      <w:r>
        <w:rPr>
          <w:rFonts w:eastAsia="黑体"/>
          <w:sz w:val="32"/>
          <w:szCs w:val="32"/>
        </w:rPr>
        <w:t>201</w:t>
      </w:r>
      <w:r>
        <w:rPr>
          <w:rFonts w:eastAsia="黑体" w:hint="eastAsia"/>
          <w:sz w:val="32"/>
          <w:szCs w:val="32"/>
        </w:rPr>
        <w:t>8</w:t>
      </w:r>
      <w:r>
        <w:rPr>
          <w:rFonts w:eastAsia="黑体"/>
          <w:sz w:val="32"/>
          <w:szCs w:val="32"/>
        </w:rPr>
        <w:t>年部门决算情况说明</w:t>
      </w:r>
      <w:r w:rsidR="0037387F" w:rsidRPr="0037387F">
        <w:rPr>
          <w:sz w:val="44"/>
        </w:rPr>
        <w:pict>
          <v:group id="_x0000_s1097" style="position:absolute;left:0;text-align:left;margin-left:-80.8pt;margin-top:38.95pt;width:222.8pt;height:46.7pt;z-index:251672576;mso-position-horizontal-relative:text;mso-position-vertical-relative:page" coordorigin="4551,52615" coordsize="8546,1398203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v:rect id="矩形 13" o:spid="_x0000_s1099" style="position:absolute;left:4551;top:52615;width:8546;height:1175;v-text-anchor:middle"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fillcolor="#d9d9d9" stroked="f" strokeweight="2pt"/>
            <v:rect id="矩形 14" o:spid="_x0000_s1098" style="position:absolute;left:4577;top:52890;width:8324;height:1123;v-text-anchor:middle"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年度部门决算☞目</w:t>
                    </w:r>
                    <w:r>
                      <w:rPr>
                        <w:rFonts w:ascii="楷体" w:eastAsia="楷体" w:hAnsi="楷体" w:cs="楷体" w:hint="eastAsia"/>
                        <w:b/>
                        <w:bCs/>
                        <w:color w:val="FDEFBE"/>
                        <w:kern w:val="0"/>
                        <w:sz w:val="32"/>
                        <w:szCs w:val="32"/>
                      </w:rPr>
                      <w:t xml:space="preserve"> </w:t>
                    </w:r>
                    <w:r>
                      <w:rPr>
                        <w:rFonts w:ascii="楷体" w:eastAsia="楷体" w:hAnsi="楷体" w:cs="楷体" w:hint="eastAsia"/>
                        <w:b/>
                        <w:bCs/>
                        <w:color w:val="FDEFBE"/>
                        <w:kern w:val="0"/>
                        <w:sz w:val="32"/>
                        <w:szCs w:val="32"/>
                      </w:rPr>
                      <w:t>录</w:t>
                    </w:r>
                  </w:p>
                  <w:p w:rsidR="0037387F" w:rsidRDefault="0037387F">
                    <w:pPr>
                      <w:jc w:val="center"/>
                    </w:pPr>
                  </w:p>
                </w:txbxContent>
              </v:textbox>
            </v:rect>
            <w10:wrap anchory="page"/>
            <w10:anchorlock/>
          </v:group>
        </w:pic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37387F" w:rsidRDefault="00086B43">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37387F" w:rsidRDefault="00086B43">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37387F" w:rsidRDefault="00086B43">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37387F" w:rsidRDefault="00086B43">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37387F" w:rsidRDefault="00086B43">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37387F" w:rsidRDefault="0037387F">
      <w:pPr>
        <w:widowControl/>
        <w:spacing w:line="580" w:lineRule="exact"/>
        <w:ind w:firstLineChars="200" w:firstLine="640"/>
        <w:rPr>
          <w:rFonts w:eastAsia="黑体"/>
          <w:sz w:val="32"/>
          <w:szCs w:val="32"/>
        </w:rPr>
      </w:pPr>
    </w:p>
    <w:p w:rsidR="0037387F" w:rsidRDefault="0037387F">
      <w:pPr>
        <w:widowControl/>
        <w:spacing w:line="580" w:lineRule="exact"/>
        <w:ind w:firstLineChars="200" w:firstLine="640"/>
        <w:rPr>
          <w:rFonts w:eastAsia="黑体"/>
          <w:sz w:val="32"/>
          <w:szCs w:val="32"/>
        </w:rPr>
      </w:pPr>
    </w:p>
    <w:p w:rsidR="0037387F" w:rsidRDefault="0037387F">
      <w:pPr>
        <w:widowControl/>
        <w:spacing w:line="580" w:lineRule="exact"/>
        <w:ind w:firstLineChars="200" w:firstLine="640"/>
        <w:rPr>
          <w:rFonts w:eastAsia="黑体"/>
          <w:sz w:val="32"/>
          <w:szCs w:val="32"/>
        </w:rPr>
      </w:pPr>
    </w:p>
    <w:p w:rsidR="0037387F" w:rsidRDefault="0037387F">
      <w:pPr>
        <w:widowControl/>
        <w:spacing w:line="580" w:lineRule="exact"/>
        <w:ind w:firstLineChars="200" w:firstLine="640"/>
        <w:rPr>
          <w:rFonts w:eastAsia="黑体"/>
          <w:sz w:val="32"/>
          <w:szCs w:val="32"/>
        </w:rPr>
      </w:pPr>
    </w:p>
    <w:p w:rsidR="0037387F" w:rsidRDefault="00086B43">
      <w:r>
        <w:br w:type="page"/>
      </w:r>
    </w:p>
    <w:p w:rsidR="0037387F" w:rsidRDefault="00086B43">
      <w:r>
        <w:rPr>
          <w:rFonts w:ascii="宋体" w:hAnsi="宋体" w:cs="ArialUnicodeMS" w:hint="eastAsia"/>
          <w:noProof/>
          <w:color w:val="000000"/>
          <w:kern w:val="0"/>
        </w:rPr>
        <w:lastRenderedPageBreak/>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9" cstate="print"/>
                    <a:stretch>
                      <a:fillRect/>
                    </a:stretch>
                  </pic:blipFill>
                  <pic:spPr>
                    <a:xfrm>
                      <a:off x="0" y="0"/>
                      <a:ext cx="7585710" cy="10727055"/>
                    </a:xfrm>
                    <a:prstGeom prst="rect">
                      <a:avLst/>
                    </a:prstGeom>
                  </pic:spPr>
                </pic:pic>
              </a:graphicData>
            </a:graphic>
          </wp:anchor>
        </w:drawing>
      </w:r>
      <w:r w:rsidR="0037387F" w:rsidRPr="0037387F">
        <w:rPr>
          <w:sz w:val="72"/>
        </w:rPr>
        <w:pict>
          <v:shape id="_x0000_s1096" type="#_x0000_t202" style="position:absolute;left:0;text-align:left;margin-left:-97.3pt;margin-top:259.1pt;width:613.65pt;height:81.7pt;z-index:251670528;mso-position-horizontal-relative:text;mso-position-vertical-relative:text;mso-width-relative:page;mso-height-relative:page"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filled="f" stroked="f" strokeweight=".5pt">
            <v:textbox>
              <w:txbxContent>
                <w:p w:rsidR="0037387F" w:rsidRDefault="00086B43">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 w:rsidR="0037387F" w:rsidRDefault="0037387F">
      <w:pPr>
        <w:pStyle w:val="1"/>
        <w:spacing w:before="0" w:after="0" w:line="600" w:lineRule="exact"/>
        <w:jc w:val="left"/>
      </w:pPr>
      <w:r w:rsidRPr="0037387F">
        <w:rPr>
          <w:b w:val="0"/>
          <w:bCs w:val="0"/>
          <w:sz w:val="32"/>
          <w:szCs w:val="32"/>
        </w:rPr>
        <w:lastRenderedPageBreak/>
        <w:pict>
          <v:group id="_x0000_s1093" style="position:absolute;margin-left:-80.8pt;margin-top:39.5pt;width:245.25pt;height:46.7pt;z-index:251666432;mso-position-vertical-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v:rect id="_x0000_s1095" style="position:absolute;left:4551;top:52615;width:8546;height:1175;v-text-anchor:middle"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fillcolor="#d9d9d9" stroked="f" strokeweight="2pt"/>
            <v:rect id="_x0000_s1094" style="position:absolute;left:4577;top:52890;width:8324;height:1123;v-text-anchor:middle"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年度部门决算☞部门概况</w:t>
                    </w:r>
                  </w:p>
                  <w:p w:rsidR="0037387F" w:rsidRDefault="0037387F">
                    <w:pPr>
                      <w:jc w:val="center"/>
                    </w:pPr>
                  </w:p>
                </w:txbxContent>
              </v:textbox>
            </v:rect>
            <w10:wrap anchory="page"/>
            <w10:anchorlock/>
          </v:group>
        </w:pict>
      </w:r>
      <w:r w:rsidR="00086B43">
        <w:rPr>
          <w:rFonts w:ascii="黑体" w:eastAsia="黑体" w:hAnsiTheme="minorHAnsi" w:cs="黑体" w:hint="eastAsia"/>
          <w:b w:val="0"/>
          <w:bCs w:val="0"/>
          <w:kern w:val="0"/>
          <w:sz w:val="32"/>
          <w:szCs w:val="32"/>
        </w:rPr>
        <w:t>一、部门职责</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积极贯彻执行国家的文物行政、法令，严格落实国家文物局制定的博物馆藏品管理办法做到制度健全、账目清楚、鉴定确切、编目详明、保管妥善、查检方便。</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为了库房文物安全，非本馆人员，未经所长批准一律禁止进入库房。</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本部人员一定忠于职守，严格操作程序，防止机械性损伤和物化生物因素的破坏，切实保持藏品原有的面貌。</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文物出入库房一律严格手续，出入库房一律由所长批准，否则，任何人不得随便将文物带出库房。</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对文物进行分类管理，责任到人，出现差错，追究当事人责任。</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库房日记由部室主任当天填写，进入库房须两人以上。</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负责文物的征集、鉴定、入库，藏品登记分类，编目以及正常管理。</w:t>
      </w:r>
    </w:p>
    <w:p w:rsidR="0037387F" w:rsidRDefault="00086B43">
      <w:pPr>
        <w:numPr>
          <w:ilvl w:val="0"/>
          <w:numId w:val="1"/>
        </w:numPr>
        <w:rPr>
          <w:rFonts w:ascii="仿宋_GB2312" w:eastAsia="仿宋_GB2312" w:hAnsi="仿宋_GB2312" w:cs="仿宋_GB2312"/>
          <w:sz w:val="32"/>
          <w:szCs w:val="32"/>
        </w:rPr>
      </w:pPr>
      <w:r>
        <w:rPr>
          <w:rFonts w:ascii="仿宋_GB2312" w:eastAsia="仿宋_GB2312" w:hAnsi="仿宋_GB2312" w:cs="仿宋_GB2312" w:hint="eastAsia"/>
          <w:sz w:val="32"/>
          <w:szCs w:val="32"/>
        </w:rPr>
        <w:t>加强业务学习，不断提高研究水平，熟练掌握陶器等</w:t>
      </w:r>
      <w:r>
        <w:rPr>
          <w:rFonts w:ascii="仿宋_GB2312" w:eastAsia="仿宋_GB2312" w:hAnsi="仿宋_GB2312" w:cs="仿宋_GB2312" w:hint="eastAsia"/>
          <w:sz w:val="32"/>
          <w:szCs w:val="32"/>
        </w:rPr>
        <w:lastRenderedPageBreak/>
        <w:t>文物的多项修复技术，熟练各类文物养护要求，确保文物安全。</w:t>
      </w:r>
    </w:p>
    <w:p w:rsidR="0037387F" w:rsidRDefault="0037387F">
      <w:pPr>
        <w:autoSpaceDE w:val="0"/>
        <w:autoSpaceDN w:val="0"/>
        <w:adjustRightInd w:val="0"/>
        <w:spacing w:after="0" w:line="560" w:lineRule="exact"/>
        <w:jc w:val="left"/>
        <w:rPr>
          <w:rFonts w:ascii="仿宋_GB2312" w:eastAsia="仿宋_GB2312" w:hAnsiTheme="minorHAnsi" w:cs="ArialUnicodeMS"/>
          <w:kern w:val="0"/>
          <w:sz w:val="32"/>
          <w:szCs w:val="32"/>
        </w:rPr>
      </w:pPr>
    </w:p>
    <w:p w:rsidR="0037387F" w:rsidRDefault="00086B43">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37387F" w:rsidRDefault="00086B43">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 xml:space="preserve"> 1</w:t>
      </w:r>
      <w:r>
        <w:rPr>
          <w:rFonts w:ascii="仿宋_GB2312" w:eastAsia="仿宋_GB2312" w:hAnsiTheme="minorHAnsi" w:cs="ArialUnicodeMS" w:hint="eastAsia"/>
          <w:kern w:val="0"/>
          <w:sz w:val="32"/>
          <w:szCs w:val="32"/>
        </w:rPr>
        <w:t>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025"/>
        <w:gridCol w:w="2905"/>
        <w:gridCol w:w="2665"/>
      </w:tblGrid>
      <w:tr w:rsidR="0037387F">
        <w:trPr>
          <w:trHeight w:val="811"/>
          <w:jc w:val="center"/>
        </w:trPr>
        <w:tc>
          <w:tcPr>
            <w:tcW w:w="985" w:type="dxa"/>
            <w:vAlign w:val="center"/>
          </w:tcPr>
          <w:p w:rsidR="0037387F" w:rsidRDefault="00086B4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025" w:type="dxa"/>
            <w:vAlign w:val="center"/>
          </w:tcPr>
          <w:p w:rsidR="0037387F" w:rsidRDefault="00086B4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905" w:type="dxa"/>
            <w:vAlign w:val="center"/>
          </w:tcPr>
          <w:p w:rsidR="0037387F" w:rsidRDefault="00086B4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37387F" w:rsidRDefault="00086B4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37387F">
        <w:trPr>
          <w:trHeight w:val="596"/>
          <w:jc w:val="center"/>
        </w:trPr>
        <w:tc>
          <w:tcPr>
            <w:tcW w:w="985" w:type="dxa"/>
          </w:tcPr>
          <w:p w:rsidR="0037387F" w:rsidRDefault="00086B4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025" w:type="dxa"/>
          </w:tcPr>
          <w:p w:rsidR="0037387F" w:rsidRDefault="00086B43">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高邑县文物保管所</w:t>
            </w:r>
          </w:p>
        </w:tc>
        <w:tc>
          <w:tcPr>
            <w:tcW w:w="2905" w:type="dxa"/>
          </w:tcPr>
          <w:p w:rsidR="0037387F" w:rsidRDefault="00086B4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财政补助事业单位</w:t>
            </w:r>
          </w:p>
        </w:tc>
        <w:tc>
          <w:tcPr>
            <w:tcW w:w="2665" w:type="dxa"/>
          </w:tcPr>
          <w:p w:rsidR="0037387F" w:rsidRDefault="00086B4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37387F">
        <w:trPr>
          <w:trHeight w:val="596"/>
          <w:jc w:val="center"/>
        </w:trPr>
        <w:tc>
          <w:tcPr>
            <w:tcW w:w="985" w:type="dxa"/>
          </w:tcPr>
          <w:p w:rsidR="0037387F" w:rsidRDefault="0037387F">
            <w:pPr>
              <w:spacing w:after="0" w:line="560" w:lineRule="exact"/>
              <w:jc w:val="center"/>
              <w:rPr>
                <w:rFonts w:ascii="仿宋_GB2312" w:eastAsia="仿宋_GB2312" w:hAnsiTheme="minorHAnsi" w:cs="ArialUnicodeMS"/>
                <w:kern w:val="0"/>
                <w:sz w:val="28"/>
                <w:szCs w:val="28"/>
              </w:rPr>
            </w:pPr>
          </w:p>
        </w:tc>
        <w:tc>
          <w:tcPr>
            <w:tcW w:w="3025" w:type="dxa"/>
          </w:tcPr>
          <w:p w:rsidR="0037387F" w:rsidRDefault="0037387F">
            <w:pPr>
              <w:spacing w:after="0" w:line="560" w:lineRule="exact"/>
              <w:rPr>
                <w:rFonts w:ascii="仿宋_GB2312" w:eastAsia="仿宋_GB2312" w:hAnsiTheme="minorHAnsi" w:cs="ArialUnicodeMS"/>
                <w:kern w:val="0"/>
                <w:sz w:val="28"/>
                <w:szCs w:val="28"/>
              </w:rPr>
            </w:pPr>
          </w:p>
        </w:tc>
        <w:tc>
          <w:tcPr>
            <w:tcW w:w="2905" w:type="dxa"/>
          </w:tcPr>
          <w:p w:rsidR="0037387F" w:rsidRDefault="0037387F">
            <w:pPr>
              <w:spacing w:after="0" w:line="560" w:lineRule="exact"/>
              <w:jc w:val="center"/>
              <w:rPr>
                <w:rFonts w:ascii="仿宋_GB2312" w:eastAsia="仿宋_GB2312" w:hAnsiTheme="minorHAnsi" w:cs="ArialUnicodeMS"/>
                <w:kern w:val="0"/>
                <w:sz w:val="28"/>
                <w:szCs w:val="28"/>
              </w:rPr>
            </w:pPr>
          </w:p>
        </w:tc>
        <w:tc>
          <w:tcPr>
            <w:tcW w:w="2665" w:type="dxa"/>
          </w:tcPr>
          <w:p w:rsidR="0037387F" w:rsidRDefault="0037387F">
            <w:pPr>
              <w:spacing w:after="0" w:line="560" w:lineRule="exact"/>
              <w:jc w:val="center"/>
              <w:rPr>
                <w:rFonts w:ascii="仿宋_GB2312" w:eastAsia="仿宋_GB2312" w:hAnsiTheme="minorHAnsi" w:cs="ArialUnicodeMS"/>
                <w:kern w:val="0"/>
                <w:sz w:val="28"/>
                <w:szCs w:val="28"/>
              </w:rPr>
            </w:pPr>
          </w:p>
        </w:tc>
      </w:tr>
      <w:tr w:rsidR="0037387F">
        <w:trPr>
          <w:trHeight w:val="596"/>
          <w:jc w:val="center"/>
        </w:trPr>
        <w:tc>
          <w:tcPr>
            <w:tcW w:w="985" w:type="dxa"/>
          </w:tcPr>
          <w:p w:rsidR="0037387F" w:rsidRDefault="0037387F">
            <w:pPr>
              <w:spacing w:after="0" w:line="560" w:lineRule="exact"/>
              <w:jc w:val="center"/>
              <w:rPr>
                <w:rFonts w:ascii="仿宋_GB2312" w:eastAsia="仿宋_GB2312" w:hAnsiTheme="minorHAnsi" w:cs="ArialUnicodeMS"/>
                <w:kern w:val="0"/>
                <w:sz w:val="28"/>
                <w:szCs w:val="28"/>
              </w:rPr>
            </w:pPr>
          </w:p>
        </w:tc>
        <w:tc>
          <w:tcPr>
            <w:tcW w:w="3025" w:type="dxa"/>
          </w:tcPr>
          <w:p w:rsidR="0037387F" w:rsidRDefault="0037387F">
            <w:pPr>
              <w:spacing w:after="0" w:line="560" w:lineRule="exact"/>
              <w:rPr>
                <w:rFonts w:ascii="仿宋_GB2312" w:eastAsia="仿宋_GB2312" w:hAnsiTheme="minorHAnsi" w:cs="ArialUnicodeMS"/>
                <w:kern w:val="0"/>
                <w:sz w:val="28"/>
                <w:szCs w:val="28"/>
              </w:rPr>
            </w:pPr>
          </w:p>
        </w:tc>
        <w:tc>
          <w:tcPr>
            <w:tcW w:w="2905" w:type="dxa"/>
          </w:tcPr>
          <w:p w:rsidR="0037387F" w:rsidRDefault="0037387F">
            <w:pPr>
              <w:spacing w:after="0" w:line="560" w:lineRule="exact"/>
              <w:jc w:val="center"/>
              <w:rPr>
                <w:rFonts w:ascii="仿宋_GB2312" w:eastAsia="仿宋_GB2312" w:hAnsiTheme="minorHAnsi" w:cs="ArialUnicodeMS"/>
                <w:kern w:val="0"/>
                <w:sz w:val="28"/>
                <w:szCs w:val="28"/>
              </w:rPr>
            </w:pPr>
          </w:p>
        </w:tc>
        <w:tc>
          <w:tcPr>
            <w:tcW w:w="2665" w:type="dxa"/>
          </w:tcPr>
          <w:p w:rsidR="0037387F" w:rsidRDefault="0037387F">
            <w:pPr>
              <w:spacing w:after="0" w:line="560" w:lineRule="exact"/>
              <w:jc w:val="center"/>
              <w:rPr>
                <w:rFonts w:ascii="仿宋_GB2312" w:eastAsia="仿宋_GB2312" w:hAnsiTheme="minorHAnsi" w:cs="ArialUnicodeMS"/>
                <w:kern w:val="0"/>
                <w:sz w:val="28"/>
                <w:szCs w:val="28"/>
              </w:rPr>
            </w:pPr>
          </w:p>
        </w:tc>
      </w:tr>
      <w:tr w:rsidR="0037387F">
        <w:trPr>
          <w:trHeight w:val="606"/>
          <w:jc w:val="center"/>
        </w:trPr>
        <w:tc>
          <w:tcPr>
            <w:tcW w:w="985" w:type="dxa"/>
            <w:tcBorders>
              <w:bottom w:val="single" w:sz="4" w:space="0" w:color="auto"/>
            </w:tcBorders>
          </w:tcPr>
          <w:p w:rsidR="0037387F" w:rsidRDefault="0037387F">
            <w:pPr>
              <w:spacing w:after="0" w:line="560" w:lineRule="exact"/>
              <w:jc w:val="center"/>
              <w:rPr>
                <w:rFonts w:ascii="仿宋_GB2312" w:eastAsia="仿宋_GB2312" w:hAnsiTheme="minorHAnsi" w:cs="ArialUnicodeMS"/>
                <w:kern w:val="0"/>
                <w:sz w:val="28"/>
                <w:szCs w:val="28"/>
              </w:rPr>
            </w:pPr>
          </w:p>
        </w:tc>
        <w:tc>
          <w:tcPr>
            <w:tcW w:w="3025" w:type="dxa"/>
            <w:tcBorders>
              <w:bottom w:val="single" w:sz="4" w:space="0" w:color="auto"/>
            </w:tcBorders>
          </w:tcPr>
          <w:p w:rsidR="0037387F" w:rsidRDefault="0037387F">
            <w:pPr>
              <w:spacing w:after="0" w:line="560" w:lineRule="exact"/>
              <w:rPr>
                <w:rFonts w:ascii="仿宋_GB2312" w:eastAsia="仿宋_GB2312" w:hAnsiTheme="minorHAnsi" w:cs="ArialUnicodeMS"/>
                <w:kern w:val="0"/>
                <w:sz w:val="28"/>
                <w:szCs w:val="28"/>
              </w:rPr>
            </w:pPr>
          </w:p>
        </w:tc>
        <w:tc>
          <w:tcPr>
            <w:tcW w:w="2905" w:type="dxa"/>
            <w:tcBorders>
              <w:bottom w:val="single" w:sz="4" w:space="0" w:color="auto"/>
            </w:tcBorders>
          </w:tcPr>
          <w:p w:rsidR="0037387F" w:rsidRDefault="0037387F">
            <w:pPr>
              <w:spacing w:after="0" w:line="560" w:lineRule="exact"/>
              <w:jc w:val="center"/>
              <w:rPr>
                <w:rFonts w:ascii="仿宋_GB2312" w:eastAsia="仿宋_GB2312" w:hAnsiTheme="minorHAnsi" w:cs="ArialUnicodeMS"/>
                <w:kern w:val="0"/>
                <w:sz w:val="28"/>
                <w:szCs w:val="28"/>
              </w:rPr>
            </w:pPr>
          </w:p>
        </w:tc>
        <w:tc>
          <w:tcPr>
            <w:tcW w:w="2665" w:type="dxa"/>
            <w:tcBorders>
              <w:bottom w:val="single" w:sz="4" w:space="0" w:color="auto"/>
            </w:tcBorders>
          </w:tcPr>
          <w:p w:rsidR="0037387F" w:rsidRDefault="0037387F">
            <w:pPr>
              <w:spacing w:after="0" w:line="560" w:lineRule="exact"/>
              <w:jc w:val="center"/>
              <w:rPr>
                <w:rFonts w:ascii="仿宋_GB2312" w:eastAsia="仿宋_GB2312" w:hAnsiTheme="minorHAnsi" w:cs="ArialUnicodeMS"/>
                <w:kern w:val="0"/>
                <w:sz w:val="28"/>
                <w:szCs w:val="28"/>
              </w:rPr>
            </w:pPr>
          </w:p>
        </w:tc>
      </w:tr>
      <w:tr w:rsidR="0037387F">
        <w:trPr>
          <w:trHeight w:val="606"/>
          <w:jc w:val="center"/>
        </w:trPr>
        <w:tc>
          <w:tcPr>
            <w:tcW w:w="9580" w:type="dxa"/>
            <w:gridSpan w:val="4"/>
            <w:tcBorders>
              <w:top w:val="single" w:sz="4" w:space="0" w:color="auto"/>
              <w:left w:val="nil"/>
              <w:bottom w:val="nil"/>
              <w:right w:val="nil"/>
            </w:tcBorders>
          </w:tcPr>
          <w:p w:rsidR="0037387F" w:rsidRDefault="0037387F">
            <w:pPr>
              <w:spacing w:after="0" w:line="560" w:lineRule="exact"/>
              <w:jc w:val="left"/>
              <w:rPr>
                <w:rFonts w:ascii="仿宋_GB2312" w:eastAsia="仿宋_GB2312" w:hAnsiTheme="minorHAnsi" w:cs="ArialUnicodeMS"/>
                <w:kern w:val="0"/>
                <w:sz w:val="28"/>
                <w:szCs w:val="28"/>
              </w:rPr>
            </w:pPr>
          </w:p>
        </w:tc>
      </w:tr>
    </w:tbl>
    <w:p w:rsidR="0037387F" w:rsidRDefault="0037387F">
      <w:pPr>
        <w:spacing w:after="0" w:line="560" w:lineRule="exact"/>
        <w:rPr>
          <w:rFonts w:ascii="仿宋_GB2312" w:eastAsia="仿宋_GB2312" w:hAnsiTheme="minorHAnsi" w:cs="ArialUnicodeMS"/>
          <w:kern w:val="0"/>
          <w:sz w:val="32"/>
          <w:szCs w:val="32"/>
        </w:rPr>
      </w:pPr>
    </w:p>
    <w:p w:rsidR="0037387F" w:rsidRDefault="0037387F">
      <w:pPr>
        <w:widowControl/>
        <w:spacing w:line="560" w:lineRule="exact"/>
        <w:jc w:val="center"/>
        <w:rPr>
          <w:rFonts w:ascii="黑体" w:eastAsia="黑体" w:hAnsiTheme="minorHAnsi" w:cs="MS-UIGothic,Bold"/>
          <w:bCs/>
          <w:kern w:val="0"/>
          <w:sz w:val="52"/>
          <w:szCs w:val="52"/>
        </w:rPr>
      </w:pPr>
    </w:p>
    <w:p w:rsidR="0037387F" w:rsidRDefault="0037387F">
      <w:pPr>
        <w:widowControl/>
        <w:spacing w:line="560" w:lineRule="exact"/>
        <w:jc w:val="center"/>
        <w:rPr>
          <w:rFonts w:ascii="黑体" w:eastAsia="黑体" w:hAnsiTheme="minorHAnsi" w:cs="MS-UIGothic,Bold"/>
          <w:bCs/>
          <w:kern w:val="0"/>
          <w:sz w:val="52"/>
          <w:szCs w:val="52"/>
        </w:rPr>
      </w:pPr>
    </w:p>
    <w:p w:rsidR="0037387F" w:rsidRDefault="0037387F">
      <w:pPr>
        <w:widowControl/>
        <w:spacing w:line="560" w:lineRule="exact"/>
        <w:jc w:val="center"/>
        <w:rPr>
          <w:rFonts w:ascii="黑体" w:eastAsia="黑体" w:hAnsiTheme="minorHAnsi" w:cs="MS-UIGothic,Bold"/>
          <w:bCs/>
          <w:kern w:val="0"/>
          <w:sz w:val="52"/>
          <w:szCs w:val="52"/>
        </w:rPr>
        <w:sectPr w:rsidR="0037387F">
          <w:pgSz w:w="11906" w:h="16838"/>
          <w:pgMar w:top="2098" w:right="1474" w:bottom="1984" w:left="1588" w:header="851" w:footer="992" w:gutter="0"/>
          <w:cols w:space="0"/>
          <w:docGrid w:type="lines" w:linePitch="312"/>
        </w:sectPr>
      </w:pPr>
    </w:p>
    <w:p w:rsidR="0037387F" w:rsidRDefault="00086B43">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9" cstate="print"/>
                    <a:stretch>
                      <a:fillRect/>
                    </a:stretch>
                  </pic:blipFill>
                  <pic:spPr>
                    <a:xfrm>
                      <a:off x="0" y="0"/>
                      <a:ext cx="7571105" cy="10680065"/>
                    </a:xfrm>
                    <a:prstGeom prst="rect">
                      <a:avLst/>
                    </a:prstGeom>
                  </pic:spPr>
                </pic:pic>
              </a:graphicData>
            </a:graphic>
          </wp:anchor>
        </w:drawing>
      </w:r>
    </w:p>
    <w:p w:rsidR="0037387F" w:rsidRDefault="0037387F">
      <w:pPr>
        <w:widowControl/>
        <w:spacing w:line="560" w:lineRule="exact"/>
        <w:jc w:val="center"/>
        <w:rPr>
          <w:rFonts w:ascii="黑体" w:eastAsia="黑体" w:hAnsiTheme="minorHAnsi" w:cs="MS-UIGothic,Bold"/>
          <w:bCs/>
          <w:kern w:val="0"/>
          <w:sz w:val="52"/>
          <w:szCs w:val="52"/>
        </w:rPr>
      </w:pPr>
    </w:p>
    <w:p w:rsidR="0037387F" w:rsidRDefault="0037387F">
      <w:pPr>
        <w:rPr>
          <w:rFonts w:ascii="宋体" w:hAnsi="宋体" w:cs="ArialUnicodeMS"/>
          <w:color w:val="000000"/>
          <w:kern w:val="0"/>
        </w:rPr>
      </w:pPr>
    </w:p>
    <w:p w:rsidR="0037387F" w:rsidRDefault="0037387F">
      <w:pPr>
        <w:rPr>
          <w:rFonts w:ascii="宋体" w:hAnsi="宋体" w:cs="ArialUnicodeMS"/>
          <w:color w:val="000000"/>
          <w:kern w:val="0"/>
        </w:rPr>
        <w:sectPr w:rsidR="0037387F">
          <w:pgSz w:w="11906" w:h="16838"/>
          <w:pgMar w:top="2098" w:right="1474" w:bottom="1984" w:left="1588" w:header="851" w:footer="992" w:gutter="0"/>
          <w:cols w:space="0"/>
          <w:docGrid w:type="lines" w:linePitch="312"/>
        </w:sectPr>
      </w:pPr>
      <w:r w:rsidRPr="0037387F">
        <w:rPr>
          <w:sz w:val="72"/>
        </w:rPr>
        <w:pict>
          <v:shape id="_x0000_s1092" type="#_x0000_t202" style="position:absolute;left:0;text-align:left;margin-left:-74.2pt;margin-top:120.3pt;width:596.2pt;height:159.1pt;z-index:251667456;mso-width-relative:page;mso-height-relative:page"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filled="f" stroked="f" strokeweight=".5pt">
            <v:textbox>
              <w:txbxContent>
                <w:p w:rsidR="0037387F" w:rsidRDefault="00086B4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37387F" w:rsidRDefault="00086B43">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p w:rsidR="0037387F" w:rsidRDefault="00086B43">
      <w:pPr>
        <w:spacing w:after="0" w:line="600" w:lineRule="auto"/>
        <w:rPr>
          <w:rFonts w:ascii="仿宋_GB2312" w:eastAsia="仿宋_GB2312" w:hAnsiTheme="minorHAnsi" w:cs="ArialUnicodeMS"/>
          <w:b/>
          <w:bCs/>
          <w:kern w:val="0"/>
          <w:sz w:val="32"/>
          <w:szCs w:val="32"/>
        </w:rPr>
      </w:pPr>
      <w:r>
        <w:rPr>
          <w:rFonts w:ascii="仿宋_GB2312" w:eastAsia="仿宋_GB2312" w:hAnsiTheme="minorHAnsi" w:cs="ArialUnicodeMS" w:hint="eastAsia"/>
          <w:b/>
          <w:bCs/>
          <w:kern w:val="0"/>
          <w:sz w:val="32"/>
          <w:szCs w:val="32"/>
        </w:rPr>
        <w:lastRenderedPageBreak/>
        <w:t>本部门应公开</w:t>
      </w:r>
      <w:r>
        <w:rPr>
          <w:rFonts w:ascii="仿宋_GB2312" w:eastAsia="仿宋_GB2312" w:hAnsiTheme="minorHAnsi" w:cs="ArialUnicodeMS" w:hint="eastAsia"/>
          <w:b/>
          <w:bCs/>
          <w:kern w:val="0"/>
          <w:sz w:val="32"/>
          <w:szCs w:val="32"/>
        </w:rPr>
        <w:t>10</w:t>
      </w:r>
      <w:r>
        <w:rPr>
          <w:rFonts w:ascii="仿宋_GB2312" w:eastAsia="仿宋_GB2312" w:hAnsiTheme="minorHAnsi" w:cs="ArialUnicodeMS" w:hint="eastAsia"/>
          <w:b/>
          <w:bCs/>
          <w:kern w:val="0"/>
          <w:sz w:val="32"/>
          <w:szCs w:val="32"/>
        </w:rPr>
        <w:t>张决算表格，即：</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一、收入支出决算总表（公开</w:t>
      </w:r>
      <w:r>
        <w:rPr>
          <w:rFonts w:ascii="仿宋_GB2312" w:eastAsia="仿宋_GB2312" w:hAnsiTheme="minorHAnsi" w:cs="ArialUnicodeMS" w:hint="eastAsia"/>
          <w:kern w:val="0"/>
          <w:sz w:val="32"/>
          <w:szCs w:val="32"/>
        </w:rPr>
        <w:t>01</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二、收入决算表（公开</w:t>
      </w:r>
      <w:r>
        <w:rPr>
          <w:rFonts w:ascii="仿宋_GB2312" w:eastAsia="仿宋_GB2312" w:hAnsiTheme="minorHAnsi" w:cs="ArialUnicodeMS" w:hint="eastAsia"/>
          <w:kern w:val="0"/>
          <w:sz w:val="32"/>
          <w:szCs w:val="32"/>
        </w:rPr>
        <w:t>02</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三、支出决算表（公开</w:t>
      </w:r>
      <w:r>
        <w:rPr>
          <w:rFonts w:ascii="仿宋_GB2312" w:eastAsia="仿宋_GB2312" w:hAnsiTheme="minorHAnsi" w:cs="ArialUnicodeMS" w:hint="eastAsia"/>
          <w:kern w:val="0"/>
          <w:sz w:val="32"/>
          <w:szCs w:val="32"/>
        </w:rPr>
        <w:t>03</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四、财政拨款收入支出决算总表（公开</w:t>
      </w:r>
      <w:r>
        <w:rPr>
          <w:rFonts w:ascii="仿宋_GB2312" w:eastAsia="仿宋_GB2312" w:hAnsiTheme="minorHAnsi" w:cs="ArialUnicodeMS" w:hint="eastAsia"/>
          <w:kern w:val="0"/>
          <w:sz w:val="32"/>
          <w:szCs w:val="32"/>
        </w:rPr>
        <w:t>04</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五、一般公共预算财政拨款支出决算表（公开</w:t>
      </w:r>
      <w:r>
        <w:rPr>
          <w:rFonts w:ascii="仿宋_GB2312" w:eastAsia="仿宋_GB2312" w:hAnsiTheme="minorHAnsi" w:cs="ArialUnicodeMS" w:hint="eastAsia"/>
          <w:kern w:val="0"/>
          <w:sz w:val="32"/>
          <w:szCs w:val="32"/>
        </w:rPr>
        <w:t>05</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六、一般公共预算财政拨款基本支出决算表（公开</w:t>
      </w:r>
      <w:r>
        <w:rPr>
          <w:rFonts w:ascii="仿宋_GB2312" w:eastAsia="仿宋_GB2312" w:hAnsiTheme="minorHAnsi" w:cs="ArialUnicodeMS" w:hint="eastAsia"/>
          <w:kern w:val="0"/>
          <w:sz w:val="32"/>
          <w:szCs w:val="32"/>
        </w:rPr>
        <w:t>06</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七、一般公共预算财政拨款“三公”经费支出决算表（公开</w:t>
      </w:r>
      <w:r>
        <w:rPr>
          <w:rFonts w:ascii="仿宋_GB2312" w:eastAsia="仿宋_GB2312" w:hAnsiTheme="minorHAnsi" w:cs="ArialUnicodeMS" w:hint="eastAsia"/>
          <w:kern w:val="0"/>
          <w:sz w:val="32"/>
          <w:szCs w:val="32"/>
        </w:rPr>
        <w:t>07</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八、政府性基金预算财政拨款收入支出决算表（公开</w:t>
      </w:r>
      <w:r>
        <w:rPr>
          <w:rFonts w:ascii="仿宋_GB2312" w:eastAsia="仿宋_GB2312" w:hAnsiTheme="minorHAnsi" w:cs="ArialUnicodeMS" w:hint="eastAsia"/>
          <w:kern w:val="0"/>
          <w:sz w:val="32"/>
          <w:szCs w:val="32"/>
        </w:rPr>
        <w:t>08</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九、国有资本经营预算财政拨款支出决算表（公开</w:t>
      </w:r>
      <w:r>
        <w:rPr>
          <w:rFonts w:ascii="仿宋_GB2312" w:eastAsia="仿宋_GB2312" w:hAnsiTheme="minorHAnsi" w:cs="ArialUnicodeMS" w:hint="eastAsia"/>
          <w:kern w:val="0"/>
          <w:sz w:val="32"/>
          <w:szCs w:val="32"/>
        </w:rPr>
        <w:t>0</w:t>
      </w:r>
      <w:r>
        <w:rPr>
          <w:rFonts w:ascii="仿宋" w:eastAsia="仿宋" w:hAnsi="仿宋" w:cs="仿宋" w:hint="eastAsia"/>
          <w:kern w:val="0"/>
          <w:sz w:val="32"/>
          <w:szCs w:val="32"/>
        </w:rPr>
        <w:t>9</w:t>
      </w:r>
      <w:r>
        <w:rPr>
          <w:rFonts w:ascii="仿宋_GB2312" w:eastAsia="仿宋_GB2312" w:hAnsiTheme="minorHAnsi" w:cs="ArialUnicodeMS" w:hint="eastAsia"/>
          <w:kern w:val="0"/>
          <w:sz w:val="32"/>
          <w:szCs w:val="32"/>
        </w:rPr>
        <w:t>表）</w:t>
      </w:r>
    </w:p>
    <w:p w:rsidR="0037387F" w:rsidRDefault="00086B43">
      <w:pPr>
        <w:spacing w:after="0" w:line="600" w:lineRule="auto"/>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十、政府采购情况表</w:t>
      </w:r>
      <w:r>
        <w:rPr>
          <w:rFonts w:ascii="仿宋_GB2312" w:eastAsia="仿宋_GB2312" w:hAnsiTheme="minorHAnsi" w:cs="ArialUnicodeMS" w:hint="eastAsia"/>
          <w:kern w:val="0"/>
          <w:sz w:val="32"/>
          <w:szCs w:val="32"/>
        </w:rPr>
        <w:t>(</w:t>
      </w:r>
      <w:r>
        <w:rPr>
          <w:rFonts w:ascii="仿宋_GB2312" w:eastAsia="仿宋_GB2312" w:hAnsiTheme="minorHAnsi" w:cs="ArialUnicodeMS" w:hint="eastAsia"/>
          <w:kern w:val="0"/>
          <w:sz w:val="32"/>
          <w:szCs w:val="32"/>
        </w:rPr>
        <w:t>公开</w:t>
      </w:r>
      <w:r>
        <w:rPr>
          <w:rFonts w:ascii="仿宋_GB2312" w:eastAsia="仿宋_GB2312" w:hAnsiTheme="minorHAnsi" w:cs="ArialUnicodeMS" w:hint="eastAsia"/>
          <w:kern w:val="0"/>
          <w:sz w:val="32"/>
          <w:szCs w:val="32"/>
        </w:rPr>
        <w:t>10</w:t>
      </w:r>
      <w:r>
        <w:rPr>
          <w:rFonts w:ascii="仿宋_GB2312" w:eastAsia="仿宋_GB2312" w:hAnsiTheme="minorHAnsi" w:cs="ArialUnicodeMS" w:hint="eastAsia"/>
          <w:kern w:val="0"/>
          <w:sz w:val="32"/>
          <w:szCs w:val="32"/>
        </w:rPr>
        <w:t>表</w:t>
      </w:r>
      <w:r>
        <w:rPr>
          <w:rFonts w:ascii="仿宋_GB2312" w:eastAsia="仿宋_GB2312" w:hAnsiTheme="minorHAnsi" w:cs="ArialUnicodeMS" w:hint="eastAsia"/>
          <w:kern w:val="0"/>
          <w:sz w:val="32"/>
          <w:szCs w:val="32"/>
        </w:rPr>
        <w:t>)</w:t>
      </w:r>
    </w:p>
    <w:p w:rsidR="0037387F" w:rsidRDefault="00086B43">
      <w:pPr>
        <w:spacing w:after="0" w:line="600" w:lineRule="auto"/>
        <w:rPr>
          <w:rFonts w:ascii="仿宋" w:eastAsia="仿宋" w:hAnsi="仿宋" w:cs="仿宋"/>
          <w:kern w:val="0"/>
          <w:sz w:val="32"/>
          <w:szCs w:val="32"/>
        </w:rPr>
        <w:sectPr w:rsidR="0037387F">
          <w:pgSz w:w="11906" w:h="16838"/>
          <w:pgMar w:top="2098" w:right="1474" w:bottom="1984" w:left="1588" w:header="851" w:footer="992" w:gutter="0"/>
          <w:cols w:space="0"/>
          <w:docGrid w:type="lines" w:linePitch="312"/>
        </w:sectPr>
      </w:pPr>
      <w:r>
        <w:rPr>
          <w:rFonts w:ascii="仿宋" w:eastAsia="仿宋" w:hAnsi="仿宋" w:cs="仿宋" w:hint="eastAsia"/>
          <w:kern w:val="0"/>
          <w:sz w:val="32"/>
          <w:szCs w:val="32"/>
        </w:rPr>
        <w:t>详见附表：《高邑县文保所</w:t>
      </w:r>
      <w:r>
        <w:rPr>
          <w:rFonts w:ascii="仿宋" w:eastAsia="仿宋" w:hAnsi="仿宋" w:cs="仿宋" w:hint="eastAsia"/>
          <w:kern w:val="0"/>
          <w:sz w:val="32"/>
          <w:szCs w:val="32"/>
        </w:rPr>
        <w:t>2018</w:t>
      </w:r>
      <w:r>
        <w:rPr>
          <w:rFonts w:ascii="仿宋" w:eastAsia="仿宋" w:hAnsi="仿宋" w:cs="仿宋" w:hint="eastAsia"/>
          <w:kern w:val="0"/>
          <w:sz w:val="32"/>
          <w:szCs w:val="32"/>
        </w:rPr>
        <w:t>年度部门决算公开表》</w:t>
      </w:r>
    </w:p>
    <w:p w:rsidR="0037387F" w:rsidRDefault="00086B43">
      <w:pPr>
        <w:rPr>
          <w:rFonts w:ascii="宋体" w:hAnsi="宋体" w:cs="ArialUnicodeMS"/>
          <w:color w:val="000000"/>
          <w:kern w:val="0"/>
        </w:rPr>
        <w:sectPr w:rsidR="0037387F">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9" cstate="print"/>
                    <a:stretch>
                      <a:fillRect/>
                    </a:stretch>
                  </pic:blipFill>
                  <pic:spPr>
                    <a:xfrm>
                      <a:off x="0" y="0"/>
                      <a:ext cx="7550150" cy="10680065"/>
                    </a:xfrm>
                    <a:prstGeom prst="rect">
                      <a:avLst/>
                    </a:prstGeom>
                  </pic:spPr>
                </pic:pic>
              </a:graphicData>
            </a:graphic>
          </wp:anchor>
        </w:drawing>
      </w:r>
      <w:r w:rsidR="0037387F" w:rsidRPr="0037387F">
        <w:rPr>
          <w:sz w:val="72"/>
        </w:rPr>
        <w:pict>
          <v:shape id="_x0000_s1061" type="#_x0000_t202" style="position:absolute;left:0;text-align:left;margin-left:-78.7pt;margin-top:232.8pt;width:596.2pt;height:159.1pt;z-index:251668480;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filled="f" stroked="f" strokeweight=".5pt">
            <v:textbox>
              <w:txbxContent>
                <w:p w:rsidR="0037387F" w:rsidRDefault="00086B4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37387F" w:rsidRDefault="00086B43">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37387F" w:rsidRDefault="00086B43">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w:t>
      </w:r>
      <w:r w:rsidR="0037387F" w:rsidRPr="0037387F">
        <w:rPr>
          <w:sz w:val="44"/>
        </w:rPr>
        <w:pict>
          <v:group id="_x0000_s1058" style="position:absolute;left:0;text-align:left;margin-left:-.55pt;margin-top:29.3pt;width:301.85pt;height:43.95pt;z-index:251682816;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v:rect id="矩形 13" o:spid="_x0000_s1060" style="position:absolute;left:4551;top:52615;width:8546;height:1175;v-text-anchor:middle"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fillcolor="#d9d9d9" stroked="f" strokeweight="2pt"/>
            <v:rect id="矩形 14" o:spid="_x0000_s1059" style="position:absolute;left:4577;top:52890;width:8324;height:1123;v-text-anchor:middle"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Pr>
          <w:rFonts w:ascii="黑体" w:eastAsia="黑体" w:hAnsiTheme="minorHAnsi" w:cs="黑体" w:hint="eastAsia"/>
          <w:b w:val="0"/>
          <w:bCs w:val="0"/>
          <w:kern w:val="0"/>
        </w:rPr>
        <w:t>出</w:t>
      </w:r>
      <w:r>
        <w:rPr>
          <w:rFonts w:ascii="黑体" w:eastAsia="黑体" w:hint="eastAsia"/>
          <w:b w:val="0"/>
          <w:bCs w:val="0"/>
        </w:rPr>
        <w:t>决算总体情况说明</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0.74</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年度决算相比，收支各减少</w:t>
      </w:r>
      <w:r>
        <w:rPr>
          <w:rFonts w:ascii="仿宋_GB2312" w:eastAsia="仿宋_GB2312" w:cs="DengXian-Regular" w:hint="eastAsia"/>
          <w:sz w:val="32"/>
          <w:szCs w:val="32"/>
        </w:rPr>
        <w:t>14.02</w:t>
      </w:r>
      <w:r>
        <w:rPr>
          <w:rFonts w:ascii="仿宋_GB2312" w:eastAsia="仿宋_GB2312" w:cs="DengXian-Regular" w:hint="eastAsia"/>
          <w:sz w:val="32"/>
          <w:szCs w:val="32"/>
        </w:rPr>
        <w:t>万元，</w:t>
      </w:r>
      <w:r>
        <w:rPr>
          <w:rFonts w:ascii="仿宋_GB2312" w:eastAsia="仿宋_GB2312" w:cs="DengXian-Regular" w:hint="eastAsia"/>
          <w:sz w:val="32"/>
          <w:szCs w:val="32"/>
        </w:rPr>
        <w:t>下降</w:t>
      </w:r>
      <w:r>
        <w:rPr>
          <w:rFonts w:ascii="仿宋" w:eastAsia="仿宋" w:hAnsi="仿宋" w:cs="仿宋" w:hint="eastAsia"/>
          <w:sz w:val="32"/>
          <w:szCs w:val="32"/>
        </w:rPr>
        <w:t>94.99%</w:t>
      </w:r>
      <w:r>
        <w:rPr>
          <w:rFonts w:ascii="仿宋" w:eastAsia="仿宋" w:hAnsi="仿宋" w:cs="仿宋" w:hint="eastAsia"/>
          <w:sz w:val="32"/>
          <w:szCs w:val="32"/>
        </w:rPr>
        <w:t>，</w:t>
      </w:r>
      <w:r>
        <w:rPr>
          <w:rFonts w:ascii="仿宋_GB2312" w:eastAsia="仿宋_GB2312" w:cs="DengXian-Regular" w:hint="eastAsia"/>
          <w:sz w:val="32"/>
          <w:szCs w:val="32"/>
        </w:rPr>
        <w:t>主要原因是</w:t>
      </w:r>
      <w:r>
        <w:rPr>
          <w:rFonts w:ascii="仿宋_GB2312" w:eastAsia="仿宋_GB2312" w:cs="DengXian-Regular" w:hint="eastAsia"/>
          <w:sz w:val="32"/>
          <w:szCs w:val="32"/>
        </w:rPr>
        <w:t>项目</w:t>
      </w:r>
      <w:r>
        <w:rPr>
          <w:rFonts w:ascii="仿宋_GB2312" w:eastAsia="仿宋_GB2312" w:cs="DengXian-Regular" w:hint="eastAsia"/>
          <w:sz w:val="32"/>
          <w:szCs w:val="32"/>
        </w:rPr>
        <w:t>减少。</w:t>
      </w:r>
    </w:p>
    <w:p w:rsidR="0037387F" w:rsidRDefault="00086B43">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0.6</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0.6</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；事业收入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；其他收入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。如图所示：</w:t>
      </w: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tbl>
      <w:tblPr>
        <w:tblW w:w="6056" w:type="dxa"/>
        <w:jc w:val="center"/>
        <w:tblLayout w:type="fixed"/>
        <w:tblLook w:val="04A0"/>
      </w:tblPr>
      <w:tblGrid>
        <w:gridCol w:w="1176"/>
        <w:gridCol w:w="976"/>
        <w:gridCol w:w="976"/>
        <w:gridCol w:w="976"/>
        <w:gridCol w:w="976"/>
        <w:gridCol w:w="976"/>
      </w:tblGrid>
      <w:tr w:rsidR="0037387F">
        <w:trPr>
          <w:trHeight w:val="308"/>
          <w:jc w:val="center"/>
        </w:trPr>
        <w:tc>
          <w:tcPr>
            <w:tcW w:w="1176" w:type="dxa"/>
            <w:tcBorders>
              <w:top w:val="nil"/>
              <w:left w:val="nil"/>
              <w:bottom w:val="nil"/>
              <w:right w:val="nil"/>
            </w:tcBorders>
            <w:shd w:val="clear" w:color="auto" w:fill="auto"/>
            <w:vAlign w:val="bottom"/>
          </w:tcPr>
          <w:p w:rsidR="0037387F" w:rsidRDefault="00086B43">
            <w:pPr>
              <w:widowControl/>
              <w:spacing w:after="0" w:line="240" w:lineRule="auto"/>
              <w:jc w:val="left"/>
              <w:rPr>
                <w:rFonts w:ascii="Arial" w:hAnsi="Arial" w:cs="Arial"/>
                <w:color w:val="000000"/>
                <w:kern w:val="0"/>
                <w:sz w:val="20"/>
                <w:szCs w:val="20"/>
              </w:rPr>
            </w:pPr>
            <w:r>
              <w:rPr>
                <w:rFonts w:ascii="Arial" w:hAnsi="Arial" w:cs="Arial"/>
                <w:noProof/>
                <w:color w:val="000000"/>
                <w:kern w:val="0"/>
                <w:sz w:val="20"/>
                <w:szCs w:val="20"/>
              </w:rPr>
              <w:drawing>
                <wp:anchor distT="0" distB="0" distL="114300" distR="114300" simplePos="0" relativeHeight="251684864" behindDoc="0" locked="0" layoutInCell="1" allowOverlap="1">
                  <wp:simplePos x="0" y="0"/>
                  <wp:positionH relativeFrom="column">
                    <wp:posOffset>47625</wp:posOffset>
                  </wp:positionH>
                  <wp:positionV relativeFrom="paragraph">
                    <wp:posOffset>123825</wp:posOffset>
                  </wp:positionV>
                  <wp:extent cx="3524250" cy="2771775"/>
                  <wp:effectExtent l="0" t="0" r="635" b="0"/>
                  <wp:wrapNone/>
                  <wp:docPr id="8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tbl>
            <w:tblPr>
              <w:tblW w:w="960" w:type="dxa"/>
              <w:jc w:val="center"/>
              <w:tblCellSpacing w:w="0" w:type="dxa"/>
              <w:tblLayout w:type="fixed"/>
              <w:tblCellMar>
                <w:left w:w="0" w:type="dxa"/>
                <w:right w:w="0" w:type="dxa"/>
              </w:tblCellMar>
              <w:tblLook w:val="04A0"/>
            </w:tblPr>
            <w:tblGrid>
              <w:gridCol w:w="960"/>
            </w:tblGrid>
            <w:tr w:rsidR="0037387F">
              <w:trPr>
                <w:trHeight w:val="308"/>
                <w:tblCellSpacing w:w="0" w:type="dxa"/>
                <w:jc w:val="center"/>
              </w:trPr>
              <w:tc>
                <w:tcPr>
                  <w:tcW w:w="960"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bl>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bl>
    <w:p w:rsidR="0037387F" w:rsidRDefault="00086B43">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1</w:t>
      </w:r>
      <w:r>
        <w:rPr>
          <w:rFonts w:ascii="仿宋_GB2312" w:eastAsia="仿宋_GB2312" w:cs="DengXian-Regular" w:hint="eastAsia"/>
          <w:sz w:val="28"/>
          <w:szCs w:val="28"/>
        </w:rPr>
        <w:t>：收入构成情况</w:t>
      </w:r>
    </w:p>
    <w:p w:rsidR="0037387F" w:rsidRDefault="0037387F">
      <w:pPr>
        <w:pStyle w:val="2"/>
        <w:spacing w:before="0" w:after="0" w:line="580" w:lineRule="exact"/>
        <w:rPr>
          <w:rFonts w:ascii="黑体" w:eastAsia="黑体"/>
          <w:b w:val="0"/>
          <w:bCs w:val="0"/>
        </w:rPr>
      </w:pPr>
    </w:p>
    <w:p w:rsidR="0037387F" w:rsidRDefault="00086B43">
      <w:pPr>
        <w:pStyle w:val="2"/>
        <w:spacing w:before="0" w:after="0" w:line="580" w:lineRule="exact"/>
        <w:rPr>
          <w:rFonts w:ascii="黑体" w:eastAsia="黑体"/>
          <w:b w:val="0"/>
          <w:bCs w:val="0"/>
        </w:rPr>
      </w:pPr>
      <w:r>
        <w:rPr>
          <w:rFonts w:ascii="黑体" w:eastAsia="黑体" w:hint="eastAsia"/>
          <w:b w:val="0"/>
          <w:bCs w:val="0"/>
        </w:rPr>
        <w:t>三、支出决算情况说明</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0.67</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0.67</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；项目支出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。如图所示：</w:t>
      </w:r>
    </w:p>
    <w:p w:rsidR="0037387F" w:rsidRDefault="0037387F">
      <w:pPr>
        <w:adjustRightInd w:val="0"/>
        <w:snapToGrid w:val="0"/>
        <w:spacing w:after="0" w:line="580" w:lineRule="exact"/>
        <w:ind w:firstLineChars="600" w:firstLine="1920"/>
        <w:rPr>
          <w:rFonts w:ascii="仿宋_GB2312" w:eastAsia="仿宋_GB2312" w:cs="DengXian-Regular"/>
          <w:sz w:val="32"/>
          <w:szCs w:val="32"/>
        </w:rPr>
      </w:pPr>
    </w:p>
    <w:tbl>
      <w:tblPr>
        <w:tblW w:w="6056" w:type="dxa"/>
        <w:jc w:val="center"/>
        <w:tblLayout w:type="fixed"/>
        <w:tblLook w:val="04A0"/>
      </w:tblPr>
      <w:tblGrid>
        <w:gridCol w:w="1176"/>
        <w:gridCol w:w="976"/>
        <w:gridCol w:w="976"/>
        <w:gridCol w:w="976"/>
        <w:gridCol w:w="976"/>
        <w:gridCol w:w="976"/>
      </w:tblGrid>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086B43">
            <w:pPr>
              <w:widowControl/>
              <w:spacing w:after="0" w:line="240" w:lineRule="auto"/>
              <w:jc w:val="left"/>
              <w:rPr>
                <w:rFonts w:ascii="Arial" w:hAnsi="Arial" w:cs="Arial"/>
                <w:color w:val="000000"/>
                <w:kern w:val="0"/>
                <w:sz w:val="20"/>
                <w:szCs w:val="20"/>
              </w:rPr>
            </w:pPr>
            <w:r>
              <w:rPr>
                <w:rFonts w:ascii="Arial" w:hAnsi="Arial" w:cs="Arial"/>
                <w:noProof/>
                <w:color w:val="000000"/>
                <w:kern w:val="0"/>
                <w:sz w:val="20"/>
                <w:szCs w:val="20"/>
              </w:rPr>
              <w:drawing>
                <wp:anchor distT="0" distB="0" distL="114300" distR="114300" simplePos="0" relativeHeight="251685888" behindDoc="0" locked="0" layoutInCell="1" allowOverlap="1">
                  <wp:simplePos x="0" y="0"/>
                  <wp:positionH relativeFrom="column">
                    <wp:posOffset>133350</wp:posOffset>
                  </wp:positionH>
                  <wp:positionV relativeFrom="paragraph">
                    <wp:posOffset>0</wp:posOffset>
                  </wp:positionV>
                  <wp:extent cx="3448050" cy="2762250"/>
                  <wp:effectExtent l="0" t="0" r="0" b="0"/>
                  <wp:wrapNone/>
                  <wp:docPr id="8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tbl>
            <w:tblPr>
              <w:tblW w:w="960" w:type="dxa"/>
              <w:tblCellSpacing w:w="0" w:type="dxa"/>
              <w:tblLayout w:type="fixed"/>
              <w:tblCellMar>
                <w:left w:w="0" w:type="dxa"/>
                <w:right w:w="0" w:type="dxa"/>
              </w:tblCellMar>
              <w:tblLook w:val="04A0"/>
            </w:tblPr>
            <w:tblGrid>
              <w:gridCol w:w="960"/>
            </w:tblGrid>
            <w:tr w:rsidR="0037387F">
              <w:trPr>
                <w:trHeight w:val="308"/>
                <w:tblCellSpacing w:w="0" w:type="dxa"/>
              </w:trPr>
              <w:tc>
                <w:tcPr>
                  <w:tcW w:w="960"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bl>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308"/>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r w:rsidR="0037387F">
        <w:trPr>
          <w:trHeight w:val="255"/>
          <w:jc w:val="center"/>
        </w:trPr>
        <w:tc>
          <w:tcPr>
            <w:tcW w:w="11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Arial" w:hAnsi="Arial" w:cs="Arial"/>
                <w:color w:val="000000"/>
                <w:kern w:val="0"/>
                <w:sz w:val="20"/>
                <w:szCs w:val="20"/>
              </w:rPr>
            </w:pPr>
          </w:p>
        </w:tc>
      </w:tr>
    </w:tbl>
    <w:p w:rsidR="0037387F" w:rsidRDefault="0037387F">
      <w:pPr>
        <w:adjustRightInd w:val="0"/>
        <w:snapToGrid w:val="0"/>
        <w:spacing w:after="0" w:line="580" w:lineRule="exact"/>
        <w:ind w:firstLineChars="600" w:firstLine="2640"/>
        <w:rPr>
          <w:rFonts w:ascii="仿宋_GB2312" w:eastAsia="仿宋_GB2312" w:cs="DengXian-Regular"/>
          <w:sz w:val="32"/>
          <w:szCs w:val="32"/>
        </w:rPr>
      </w:pPr>
      <w:r w:rsidRPr="0037387F">
        <w:rPr>
          <w:sz w:val="44"/>
        </w:rPr>
        <w:pict>
          <v:group id="_x0000_s1055" style="position:absolute;left:0;text-align:left;margin-left:-.55pt;margin-top:29.3pt;width:301.85pt;height:43.95pt;z-index:251674624;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v:rect id="矩形 13" o:spid="_x0000_s1057" style="position:absolute;left:4551;top:52615;width:8546;height:1175;v-text-anchor:middle"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fillcolor="#d9d9d9" stroked="f" strokeweight="2pt"/>
            <v:rect id="矩形 14" o:spid="_x0000_s1056" style="position:absolute;left:4577;top:52890;width:8324;height:1123;v-text-anchor:middle"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sidR="00086B43">
        <w:rPr>
          <w:rFonts w:ascii="仿宋_GB2312" w:eastAsia="仿宋_GB2312" w:cs="DengXian-Regular" w:hint="eastAsia"/>
          <w:sz w:val="32"/>
          <w:szCs w:val="32"/>
        </w:rPr>
        <w:t>图</w:t>
      </w:r>
      <w:r w:rsidR="00086B43">
        <w:rPr>
          <w:rFonts w:ascii="仿宋_GB2312" w:eastAsia="仿宋_GB2312" w:cs="DengXian-Regular" w:hint="eastAsia"/>
          <w:sz w:val="32"/>
          <w:szCs w:val="32"/>
        </w:rPr>
        <w:t>2</w:t>
      </w:r>
      <w:r w:rsidR="00086B43">
        <w:rPr>
          <w:rFonts w:ascii="仿宋_GB2312" w:eastAsia="仿宋_GB2312" w:cs="DengXian-Regular" w:hint="eastAsia"/>
          <w:sz w:val="32"/>
          <w:szCs w:val="32"/>
        </w:rPr>
        <w:t>：支出构成情况（按支出性质）</w:t>
      </w:r>
    </w:p>
    <w:p w:rsidR="0037387F" w:rsidRDefault="0037387F">
      <w:pPr>
        <w:adjustRightInd w:val="0"/>
        <w:snapToGrid w:val="0"/>
        <w:spacing w:after="0" w:line="580" w:lineRule="exact"/>
        <w:ind w:firstLineChars="600" w:firstLine="1920"/>
        <w:rPr>
          <w:rFonts w:ascii="仿宋_GB2312" w:eastAsia="仿宋_GB2312" w:cs="DengXian-Regular"/>
          <w:sz w:val="32"/>
          <w:szCs w:val="32"/>
        </w:rPr>
      </w:pPr>
    </w:p>
    <w:p w:rsidR="0037387F" w:rsidRDefault="0037387F">
      <w:pPr>
        <w:pStyle w:val="2"/>
        <w:spacing w:before="0" w:after="0" w:line="580" w:lineRule="exact"/>
        <w:rPr>
          <w:rFonts w:ascii="黑体" w:eastAsia="黑体"/>
          <w:b w:val="0"/>
          <w:bCs w:val="0"/>
        </w:rPr>
      </w:pPr>
    </w:p>
    <w:p w:rsidR="0037387F" w:rsidRDefault="00086B43">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37387F" w:rsidRDefault="00086B43" w:rsidP="0037387F">
      <w:pPr>
        <w:spacing w:after="0" w:line="580" w:lineRule="exact"/>
        <w:ind w:firstLineChars="200" w:firstLine="641"/>
        <w:rPr>
          <w:rFonts w:ascii="仿宋_GB2312" w:eastAsia="仿宋_GB2312" w:cs="DengXian-Regular"/>
          <w:sz w:val="32"/>
          <w:szCs w:val="32"/>
          <w:highlight w:val="yellow"/>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2017 </w:t>
      </w:r>
      <w:r>
        <w:rPr>
          <w:rFonts w:ascii="楷体_GB2312" w:eastAsia="楷体_GB2312" w:cs="DengXian-Bold" w:hint="eastAsia"/>
          <w:b/>
          <w:bCs/>
          <w:sz w:val="32"/>
          <w:szCs w:val="32"/>
        </w:rPr>
        <w:t>年度决算对比情况</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年度形成的财政拨款收支均为一般公共预算财</w:t>
      </w:r>
      <w:r>
        <w:rPr>
          <w:rFonts w:ascii="仿宋_GB2312" w:eastAsia="仿宋_GB2312" w:cs="DengXian-Regular" w:hint="eastAsia"/>
          <w:sz w:val="32"/>
          <w:szCs w:val="32"/>
        </w:rPr>
        <w:lastRenderedPageBreak/>
        <w:t>政拨款，其中一般公共预算财政拨款本年收入</w:t>
      </w:r>
      <w:r>
        <w:rPr>
          <w:rFonts w:ascii="仿宋_GB2312" w:eastAsia="仿宋_GB2312" w:cs="DengXian-Regular" w:hint="eastAsia"/>
          <w:sz w:val="32"/>
          <w:szCs w:val="32"/>
        </w:rPr>
        <w:t>0.6</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年度减少</w:t>
      </w:r>
      <w:r>
        <w:rPr>
          <w:rFonts w:ascii="仿宋_GB2312" w:eastAsia="仿宋_GB2312" w:cs="DengXian-Regular" w:hint="eastAsia"/>
          <w:sz w:val="32"/>
          <w:szCs w:val="32"/>
        </w:rPr>
        <w:t>14.16</w:t>
      </w:r>
      <w:r>
        <w:rPr>
          <w:rFonts w:ascii="仿宋_GB2312" w:eastAsia="仿宋_GB2312" w:cs="DengXian-Regular" w:hint="eastAsia"/>
          <w:sz w:val="32"/>
          <w:szCs w:val="32"/>
        </w:rPr>
        <w:t>万元，</w:t>
      </w:r>
      <w:r>
        <w:rPr>
          <w:rFonts w:ascii="仿宋_GB2312" w:eastAsia="仿宋_GB2312" w:cs="DengXian-Regular" w:hint="eastAsia"/>
          <w:sz w:val="32"/>
          <w:szCs w:val="32"/>
        </w:rPr>
        <w:t>降低</w:t>
      </w:r>
      <w:r>
        <w:rPr>
          <w:rFonts w:ascii="仿宋" w:eastAsia="仿宋" w:hAnsi="仿宋" w:cs="仿宋" w:hint="eastAsia"/>
          <w:sz w:val="32"/>
          <w:szCs w:val="32"/>
        </w:rPr>
        <w:t>95.93%</w:t>
      </w:r>
      <w:r>
        <w:rPr>
          <w:rFonts w:ascii="仿宋" w:eastAsia="仿宋" w:hAnsi="仿宋" w:cs="仿宋" w:hint="eastAsia"/>
          <w:sz w:val="32"/>
          <w:szCs w:val="32"/>
        </w:rPr>
        <w:t>，主要是</w:t>
      </w:r>
      <w:r>
        <w:rPr>
          <w:rFonts w:ascii="仿宋" w:eastAsia="仿宋" w:hAnsi="仿宋" w:cs="仿宋" w:hint="eastAsia"/>
          <w:sz w:val="32"/>
          <w:szCs w:val="32"/>
        </w:rPr>
        <w:t>项目</w:t>
      </w:r>
      <w:r>
        <w:rPr>
          <w:rFonts w:ascii="仿宋" w:eastAsia="仿宋" w:hAnsi="仿宋" w:cs="仿宋" w:hint="eastAsia"/>
          <w:sz w:val="32"/>
          <w:szCs w:val="32"/>
        </w:rPr>
        <w:t>减少；本年支出</w:t>
      </w:r>
      <w:r>
        <w:rPr>
          <w:rFonts w:ascii="仿宋" w:eastAsia="仿宋" w:hAnsi="仿宋" w:cs="仿宋" w:hint="eastAsia"/>
          <w:sz w:val="32"/>
          <w:szCs w:val="32"/>
        </w:rPr>
        <w:t>0.67</w:t>
      </w:r>
      <w:r>
        <w:rPr>
          <w:rFonts w:ascii="仿宋" w:eastAsia="仿宋" w:hAnsi="仿宋" w:cs="仿宋" w:hint="eastAsia"/>
          <w:sz w:val="32"/>
          <w:szCs w:val="32"/>
        </w:rPr>
        <w:t>万元，减少</w:t>
      </w:r>
      <w:r>
        <w:rPr>
          <w:rFonts w:ascii="仿宋" w:eastAsia="仿宋" w:hAnsi="仿宋" w:cs="仿宋" w:hint="eastAsia"/>
          <w:sz w:val="32"/>
          <w:szCs w:val="32"/>
        </w:rPr>
        <w:t>13.95</w:t>
      </w:r>
      <w:r>
        <w:rPr>
          <w:rFonts w:ascii="仿宋" w:eastAsia="仿宋" w:hAnsi="仿宋" w:cs="仿宋" w:hint="eastAsia"/>
          <w:sz w:val="32"/>
          <w:szCs w:val="32"/>
        </w:rPr>
        <w:t>万元，</w:t>
      </w:r>
      <w:r>
        <w:rPr>
          <w:rFonts w:ascii="仿宋" w:eastAsia="仿宋" w:hAnsi="仿宋" w:cs="仿宋" w:hint="eastAsia"/>
          <w:sz w:val="32"/>
          <w:szCs w:val="32"/>
        </w:rPr>
        <w:t>降低</w:t>
      </w:r>
      <w:r>
        <w:rPr>
          <w:rFonts w:ascii="仿宋" w:eastAsia="仿宋" w:hAnsi="仿宋" w:cs="仿宋" w:hint="eastAsia"/>
          <w:sz w:val="32"/>
          <w:szCs w:val="32"/>
        </w:rPr>
        <w:t>95.41%</w:t>
      </w:r>
      <w:r>
        <w:rPr>
          <w:rFonts w:ascii="仿宋" w:eastAsia="仿宋" w:hAnsi="仿宋" w:cs="仿宋" w:hint="eastAsia"/>
          <w:sz w:val="32"/>
          <w:szCs w:val="32"/>
        </w:rPr>
        <w:t>，主要是</w:t>
      </w:r>
      <w:r>
        <w:rPr>
          <w:rFonts w:ascii="仿宋_GB2312" w:eastAsia="仿宋_GB2312" w:cs="DengXian-Regular" w:hint="eastAsia"/>
          <w:sz w:val="32"/>
          <w:szCs w:val="32"/>
        </w:rPr>
        <w:t>项目</w:t>
      </w:r>
      <w:r>
        <w:rPr>
          <w:rFonts w:ascii="仿宋_GB2312" w:eastAsia="仿宋_GB2312" w:cs="DengXian-Regular" w:hint="eastAsia"/>
          <w:sz w:val="32"/>
          <w:szCs w:val="32"/>
        </w:rPr>
        <w:t>减少。</w:t>
      </w:r>
    </w:p>
    <w:p w:rsidR="0037387F" w:rsidRDefault="0037387F" w:rsidP="0037387F">
      <w:pPr>
        <w:spacing w:after="0" w:line="580" w:lineRule="exact"/>
        <w:ind w:firstLineChars="500" w:firstLine="1602"/>
        <w:rPr>
          <w:rFonts w:ascii="楷体_GB2312" w:eastAsia="楷体_GB2312" w:cs="DengXian-Bold"/>
          <w:b/>
          <w:bCs/>
          <w:sz w:val="32"/>
          <w:szCs w:val="32"/>
        </w:rPr>
      </w:pPr>
    </w:p>
    <w:tbl>
      <w:tblPr>
        <w:tblW w:w="7872" w:type="dxa"/>
        <w:jc w:val="center"/>
        <w:tblLayout w:type="fixed"/>
        <w:tblLook w:val="04A0"/>
      </w:tblPr>
      <w:tblGrid>
        <w:gridCol w:w="1296"/>
        <w:gridCol w:w="1096"/>
        <w:gridCol w:w="1096"/>
        <w:gridCol w:w="1096"/>
        <w:gridCol w:w="1096"/>
        <w:gridCol w:w="1096"/>
        <w:gridCol w:w="1096"/>
      </w:tblGrid>
      <w:tr w:rsidR="0037387F">
        <w:trPr>
          <w:trHeight w:val="270"/>
          <w:jc w:val="center"/>
        </w:trPr>
        <w:tc>
          <w:tcPr>
            <w:tcW w:w="1296" w:type="dxa"/>
            <w:tcBorders>
              <w:top w:val="nil"/>
              <w:left w:val="nil"/>
              <w:bottom w:val="nil"/>
              <w:right w:val="nil"/>
            </w:tcBorders>
            <w:shd w:val="clear" w:color="auto" w:fill="auto"/>
            <w:vAlign w:val="bottom"/>
          </w:tcPr>
          <w:p w:rsidR="0037387F" w:rsidRDefault="00086B43">
            <w:pPr>
              <w:widowControl/>
              <w:spacing w:after="0" w:line="240" w:lineRule="auto"/>
              <w:jc w:val="left"/>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86912" behindDoc="0" locked="0" layoutInCell="1" allowOverlap="1">
                  <wp:simplePos x="0" y="0"/>
                  <wp:positionH relativeFrom="column">
                    <wp:posOffset>123825</wp:posOffset>
                  </wp:positionH>
                  <wp:positionV relativeFrom="paragraph">
                    <wp:posOffset>47625</wp:posOffset>
                  </wp:positionV>
                  <wp:extent cx="4591050" cy="2762250"/>
                  <wp:effectExtent l="0" t="0" r="635" b="635"/>
                  <wp:wrapNone/>
                  <wp:docPr id="8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tbl>
            <w:tblPr>
              <w:tblW w:w="1080" w:type="dxa"/>
              <w:tblCellSpacing w:w="0" w:type="dxa"/>
              <w:tblLayout w:type="fixed"/>
              <w:tblCellMar>
                <w:left w:w="0" w:type="dxa"/>
                <w:right w:w="0" w:type="dxa"/>
              </w:tblCellMar>
              <w:tblLook w:val="04A0"/>
            </w:tblPr>
            <w:tblGrid>
              <w:gridCol w:w="1080"/>
            </w:tblGrid>
            <w:tr w:rsidR="0037387F">
              <w:trPr>
                <w:trHeight w:val="270"/>
                <w:tblCellSpacing w:w="0" w:type="dxa"/>
              </w:trPr>
              <w:tc>
                <w:tcPr>
                  <w:tcW w:w="1080"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bl>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jc w:val="center"/>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bl>
    <w:p w:rsidR="0037387F" w:rsidRDefault="00086B43">
      <w:pPr>
        <w:spacing w:after="0" w:line="580" w:lineRule="exact"/>
        <w:ind w:firstLineChars="500" w:firstLine="1600"/>
        <w:rPr>
          <w:rFonts w:ascii="仿宋" w:eastAsia="仿宋" w:hAnsi="仿宋" w:cs="仿宋"/>
          <w:sz w:val="32"/>
          <w:szCs w:val="32"/>
        </w:rPr>
      </w:pPr>
      <w:r>
        <w:rPr>
          <w:rFonts w:ascii="仿宋" w:eastAsia="仿宋" w:hAnsi="仿宋" w:cs="仿宋" w:hint="eastAsia"/>
          <w:sz w:val="32"/>
          <w:szCs w:val="32"/>
        </w:rPr>
        <w:t>图</w:t>
      </w:r>
      <w:r>
        <w:rPr>
          <w:rFonts w:ascii="仿宋" w:eastAsia="仿宋" w:hAnsi="仿宋" w:cs="仿宋" w:hint="eastAsia"/>
          <w:sz w:val="32"/>
          <w:szCs w:val="32"/>
        </w:rPr>
        <w:t>3</w:t>
      </w:r>
      <w:r>
        <w:rPr>
          <w:rFonts w:ascii="仿宋" w:eastAsia="仿宋" w:hAnsi="仿宋" w:cs="仿宋" w:hint="eastAsia"/>
          <w:sz w:val="32"/>
          <w:szCs w:val="32"/>
        </w:rPr>
        <w:t>：</w:t>
      </w:r>
      <w:r>
        <w:rPr>
          <w:rFonts w:ascii="仿宋" w:eastAsia="仿宋" w:hAnsi="仿宋" w:cs="仿宋" w:hint="eastAsia"/>
          <w:sz w:val="32"/>
          <w:szCs w:val="32"/>
        </w:rPr>
        <w:t>2017-2018</w:t>
      </w:r>
      <w:r>
        <w:rPr>
          <w:rFonts w:ascii="仿宋" w:eastAsia="仿宋" w:hAnsi="仿宋" w:cs="仿宋" w:hint="eastAsia"/>
          <w:sz w:val="32"/>
          <w:szCs w:val="32"/>
        </w:rPr>
        <w:t>年财政拨款收支情况</w:t>
      </w:r>
    </w:p>
    <w:p w:rsidR="0037387F" w:rsidRDefault="0037387F">
      <w:pPr>
        <w:spacing w:after="0" w:line="580" w:lineRule="exact"/>
        <w:rPr>
          <w:rFonts w:ascii="楷体_GB2312" w:eastAsia="楷体_GB2312" w:cs="DengXian-Bold"/>
          <w:b/>
          <w:bCs/>
          <w:sz w:val="32"/>
          <w:szCs w:val="32"/>
        </w:rPr>
      </w:pPr>
    </w:p>
    <w:p w:rsidR="0037387F" w:rsidRDefault="0037387F">
      <w:pPr>
        <w:spacing w:after="0" w:line="580" w:lineRule="exact"/>
        <w:rPr>
          <w:rFonts w:ascii="楷体_GB2312" w:eastAsia="楷体_GB2312" w:cs="DengXian-Bold"/>
          <w:b/>
          <w:bCs/>
          <w:sz w:val="32"/>
          <w:szCs w:val="32"/>
        </w:rPr>
      </w:pPr>
    </w:p>
    <w:p w:rsidR="0037387F" w:rsidRDefault="0037387F">
      <w:pPr>
        <w:spacing w:after="0" w:line="580" w:lineRule="exact"/>
        <w:rPr>
          <w:rFonts w:ascii="楷体_GB2312" w:eastAsia="楷体_GB2312" w:cs="DengXian-Bold"/>
          <w:b/>
          <w:bCs/>
          <w:sz w:val="32"/>
          <w:szCs w:val="32"/>
        </w:rPr>
      </w:pPr>
    </w:p>
    <w:p w:rsidR="0037387F" w:rsidRDefault="0037387F">
      <w:pPr>
        <w:spacing w:after="0" w:line="580" w:lineRule="exact"/>
        <w:rPr>
          <w:rFonts w:ascii="楷体_GB2312" w:eastAsia="楷体_GB2312" w:cs="DengXian-Bold"/>
          <w:b/>
          <w:bCs/>
          <w:sz w:val="32"/>
          <w:szCs w:val="32"/>
        </w:rPr>
      </w:pPr>
    </w:p>
    <w:p w:rsidR="0037387F" w:rsidRDefault="0037387F">
      <w:pPr>
        <w:spacing w:after="0" w:line="580" w:lineRule="exact"/>
        <w:rPr>
          <w:rFonts w:ascii="楷体_GB2312" w:eastAsia="楷体_GB2312" w:cs="DengXian-Bold"/>
          <w:b/>
          <w:bCs/>
          <w:sz w:val="32"/>
          <w:szCs w:val="32"/>
        </w:rPr>
      </w:pPr>
    </w:p>
    <w:p w:rsidR="0037387F" w:rsidRDefault="0037387F">
      <w:pPr>
        <w:spacing w:after="0" w:line="580" w:lineRule="exact"/>
        <w:rPr>
          <w:rFonts w:ascii="楷体_GB2312" w:eastAsia="楷体_GB2312" w:cs="DengXian-Bold"/>
          <w:b/>
          <w:bCs/>
          <w:sz w:val="32"/>
          <w:szCs w:val="32"/>
        </w:rPr>
      </w:pPr>
    </w:p>
    <w:p w:rsidR="0037387F" w:rsidRDefault="0037387F">
      <w:pPr>
        <w:spacing w:after="0" w:line="580" w:lineRule="exact"/>
        <w:rPr>
          <w:rFonts w:ascii="楷体_GB2312" w:eastAsia="楷体_GB2312" w:cs="DengXian-Bold"/>
          <w:b/>
          <w:bCs/>
          <w:sz w:val="32"/>
          <w:szCs w:val="32"/>
        </w:rPr>
      </w:pPr>
    </w:p>
    <w:p w:rsidR="0037387F" w:rsidRDefault="00086B43">
      <w:pPr>
        <w:spacing w:after="0" w:line="580" w:lineRule="exact"/>
        <w:rPr>
          <w:rFonts w:ascii="仿宋_GB2312" w:eastAsia="仿宋_GB2312" w:cs="DengXian-Regular"/>
          <w:sz w:val="32"/>
          <w:szCs w:val="32"/>
          <w:highlight w:val="yellow"/>
        </w:rPr>
      </w:pPr>
      <w:r>
        <w:rPr>
          <w:rFonts w:ascii="楷体_GB2312" w:eastAsia="楷体_GB2312" w:cs="DengXian-Bold" w:hint="eastAsia"/>
          <w:b/>
          <w:bCs/>
          <w:sz w:val="32"/>
          <w:szCs w:val="32"/>
        </w:rPr>
        <w:lastRenderedPageBreak/>
        <w:t>（二）财政拨款收支与年初预算数对比情况</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0.6</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100%,</w:t>
      </w:r>
      <w:r>
        <w:rPr>
          <w:rFonts w:ascii="仿宋_GB2312" w:eastAsia="仿宋_GB2312" w:cs="DengXian-Regular" w:hint="eastAsia"/>
          <w:sz w:val="32"/>
          <w:szCs w:val="32"/>
        </w:rPr>
        <w:t>比年初预算无增减变化；本年支出</w:t>
      </w:r>
      <w:r>
        <w:rPr>
          <w:rFonts w:ascii="仿宋_GB2312" w:eastAsia="仿宋_GB2312" w:cs="DengXian-Regular" w:hint="eastAsia"/>
          <w:sz w:val="32"/>
          <w:szCs w:val="32"/>
        </w:rPr>
        <w:t>0.67</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111%,</w:t>
      </w:r>
      <w:r>
        <w:rPr>
          <w:rFonts w:ascii="仿宋_GB2312" w:eastAsia="仿宋_GB2312" w:cs="DengXian-Regular" w:hint="eastAsia"/>
          <w:sz w:val="32"/>
          <w:szCs w:val="32"/>
        </w:rPr>
        <w:t>比年初预算增加</w:t>
      </w:r>
      <w:r>
        <w:rPr>
          <w:rFonts w:ascii="仿宋_GB2312" w:eastAsia="仿宋_GB2312" w:cs="DengXian-Regular" w:hint="eastAsia"/>
          <w:sz w:val="32"/>
          <w:szCs w:val="32"/>
        </w:rPr>
        <w:t>0.07</w:t>
      </w:r>
      <w:r>
        <w:rPr>
          <w:rFonts w:ascii="仿宋_GB2312" w:eastAsia="仿宋_GB2312" w:cs="DengXian-Regular" w:hint="eastAsia"/>
          <w:sz w:val="32"/>
          <w:szCs w:val="32"/>
        </w:rPr>
        <w:t>万元，决算数大于</w:t>
      </w:r>
      <w:r w:rsidR="0037387F" w:rsidRPr="0037387F">
        <w:rPr>
          <w:sz w:val="44"/>
        </w:rPr>
        <w:pict>
          <v:group id="_x0000_s1052" style="position:absolute;left:0;text-align:left;margin-left:-.55pt;margin-top:29.3pt;width:301.85pt;height:43.95pt;z-index:251675648;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v:rect id="矩形 13" o:spid="_x0000_s1054" style="position:absolute;left:4551;top:52615;width:8546;height:1175;v-text-anchor:middle"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fillcolor="#d9d9d9" stroked="f" strokeweight="2pt"/>
            <v:rect id="矩形 14" o:spid="_x0000_s1053" style="position:absolute;left:4577;top:52890;width:8324;height:1123;v-text-anchor:middle"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Pr>
          <w:rFonts w:ascii="仿宋_GB2312" w:eastAsia="仿宋_GB2312" w:cs="DengXian-Regular" w:hint="eastAsia"/>
          <w:sz w:val="32"/>
          <w:szCs w:val="32"/>
        </w:rPr>
        <w:t>预算数主要原因是上年结转余额在本年支出。</w:t>
      </w: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37387F">
      <w:pPr>
        <w:adjustRightInd w:val="0"/>
        <w:snapToGrid w:val="0"/>
        <w:spacing w:after="0" w:line="580" w:lineRule="exact"/>
        <w:ind w:firstLineChars="200" w:firstLine="640"/>
        <w:rPr>
          <w:rFonts w:ascii="仿宋_GB2312" w:eastAsia="仿宋_GB2312" w:cs="DengXian-Regular"/>
          <w:sz w:val="32"/>
          <w:szCs w:val="32"/>
          <w:highlight w:val="yellow"/>
        </w:rPr>
      </w:pPr>
    </w:p>
    <w:tbl>
      <w:tblPr>
        <w:tblW w:w="7872" w:type="dxa"/>
        <w:tblInd w:w="108" w:type="dxa"/>
        <w:tblLayout w:type="fixed"/>
        <w:tblLook w:val="04A0"/>
      </w:tblPr>
      <w:tblGrid>
        <w:gridCol w:w="1296"/>
        <w:gridCol w:w="1096"/>
        <w:gridCol w:w="1096"/>
        <w:gridCol w:w="1096"/>
        <w:gridCol w:w="1096"/>
        <w:gridCol w:w="1096"/>
        <w:gridCol w:w="1096"/>
      </w:tblGrid>
      <w:tr w:rsidR="0037387F">
        <w:trPr>
          <w:trHeight w:val="270"/>
        </w:trPr>
        <w:tc>
          <w:tcPr>
            <w:tcW w:w="1296" w:type="dxa"/>
            <w:tcBorders>
              <w:top w:val="nil"/>
              <w:left w:val="nil"/>
              <w:bottom w:val="nil"/>
              <w:right w:val="nil"/>
            </w:tcBorders>
            <w:shd w:val="clear" w:color="auto" w:fill="auto"/>
            <w:vAlign w:val="bottom"/>
          </w:tcPr>
          <w:p w:rsidR="0037387F" w:rsidRDefault="00086B43">
            <w:pPr>
              <w:widowControl/>
              <w:spacing w:after="0" w:line="240" w:lineRule="auto"/>
              <w:jc w:val="left"/>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87936" behindDoc="0" locked="0" layoutInCell="1" allowOverlap="1">
                  <wp:simplePos x="0" y="0"/>
                  <wp:positionH relativeFrom="column">
                    <wp:posOffset>104775</wp:posOffset>
                  </wp:positionH>
                  <wp:positionV relativeFrom="paragraph">
                    <wp:posOffset>76200</wp:posOffset>
                  </wp:positionV>
                  <wp:extent cx="4457700" cy="2743200"/>
                  <wp:effectExtent l="0" t="0" r="635" b="0"/>
                  <wp:wrapNone/>
                  <wp:docPr id="8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tbl>
            <w:tblPr>
              <w:tblW w:w="1080" w:type="dxa"/>
              <w:tblCellSpacing w:w="0" w:type="dxa"/>
              <w:tblLayout w:type="fixed"/>
              <w:tblCellMar>
                <w:left w:w="0" w:type="dxa"/>
                <w:right w:w="0" w:type="dxa"/>
              </w:tblCellMar>
              <w:tblLook w:val="04A0"/>
            </w:tblPr>
            <w:tblGrid>
              <w:gridCol w:w="1080"/>
            </w:tblGrid>
            <w:tr w:rsidR="0037387F">
              <w:trPr>
                <w:trHeight w:val="270"/>
                <w:tblCellSpacing w:w="0" w:type="dxa"/>
              </w:trPr>
              <w:tc>
                <w:tcPr>
                  <w:tcW w:w="1080"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bl>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r w:rsidR="0037387F">
        <w:trPr>
          <w:trHeight w:val="270"/>
        </w:trPr>
        <w:tc>
          <w:tcPr>
            <w:tcW w:w="12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rsidR="0037387F" w:rsidRDefault="0037387F">
            <w:pPr>
              <w:widowControl/>
              <w:spacing w:after="0" w:line="240" w:lineRule="auto"/>
              <w:jc w:val="left"/>
              <w:rPr>
                <w:rFonts w:ascii="宋体" w:hAnsi="宋体" w:cs="宋体"/>
                <w:color w:val="000000"/>
                <w:kern w:val="0"/>
                <w:sz w:val="22"/>
                <w:szCs w:val="22"/>
              </w:rPr>
            </w:pPr>
          </w:p>
        </w:tc>
      </w:tr>
    </w:tbl>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4</w:t>
      </w:r>
      <w:r>
        <w:rPr>
          <w:rFonts w:ascii="仿宋_GB2312" w:eastAsia="仿宋_GB2312" w:cs="DengXian-Regular" w:hint="eastAsia"/>
          <w:sz w:val="32"/>
          <w:szCs w:val="32"/>
        </w:rPr>
        <w:t>：财政拨款收支预决算对比情况</w:t>
      </w: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37387F">
      <w:pPr>
        <w:adjustRightInd w:val="0"/>
        <w:snapToGrid w:val="0"/>
        <w:spacing w:after="0" w:line="580" w:lineRule="exact"/>
        <w:ind w:firstLineChars="200" w:firstLine="640"/>
        <w:rPr>
          <w:rFonts w:ascii="仿宋_GB2312" w:eastAsia="仿宋_GB2312" w:cs="DengXian-Regular"/>
          <w:sz w:val="32"/>
          <w:szCs w:val="32"/>
        </w:rPr>
      </w:pPr>
    </w:p>
    <w:p w:rsidR="0037387F" w:rsidRDefault="00086B43">
      <w:pPr>
        <w:numPr>
          <w:ilvl w:val="0"/>
          <w:numId w:val="2"/>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37387F" w:rsidRDefault="00086B43">
      <w:pPr>
        <w:adjustRightInd w:val="0"/>
        <w:snapToGrid w:val="0"/>
        <w:spacing w:after="0" w:line="580" w:lineRule="exact"/>
        <w:rPr>
          <w:rFonts w:ascii="楷体_GB2312" w:eastAsia="楷体_GB2312" w:cs="DengXian-Bold"/>
          <w:b/>
          <w:bCs/>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0.67</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主要用于文化体育</w:t>
      </w:r>
      <w:r>
        <w:rPr>
          <w:rFonts w:ascii="仿宋_GB2312" w:eastAsia="仿宋_GB2312" w:cs="DengXian-Regular" w:hint="eastAsia"/>
          <w:sz w:val="32"/>
          <w:szCs w:val="32"/>
        </w:rPr>
        <w:t>与</w:t>
      </w:r>
      <w:r>
        <w:rPr>
          <w:rFonts w:ascii="仿宋_GB2312" w:eastAsia="仿宋_GB2312" w:cs="DengXian-Regular" w:hint="eastAsia"/>
          <w:sz w:val="32"/>
          <w:szCs w:val="32"/>
        </w:rPr>
        <w:t>传媒支出</w:t>
      </w:r>
      <w:r>
        <w:rPr>
          <w:rFonts w:ascii="仿宋_GB2312" w:eastAsia="仿宋_GB2312" w:cs="DengXian-Regular" w:hint="eastAsia"/>
          <w:sz w:val="32"/>
          <w:szCs w:val="32"/>
        </w:rPr>
        <w:t>0.67</w:t>
      </w:r>
      <w:r>
        <w:rPr>
          <w:rFonts w:ascii="仿宋_GB2312" w:eastAsia="仿宋_GB2312" w:cs="DengXian-Regular" w:hint="eastAsia"/>
          <w:sz w:val="32"/>
          <w:szCs w:val="32"/>
        </w:rPr>
        <w:t>万元，</w:t>
      </w:r>
      <w:r>
        <w:rPr>
          <w:rFonts w:ascii="仿宋_GB2312" w:eastAsia="仿宋_GB2312" w:cs="DengXian-Regular" w:hint="eastAsia"/>
          <w:sz w:val="32"/>
          <w:szCs w:val="32"/>
        </w:rPr>
        <w:t>其中行政运行支出</w:t>
      </w:r>
      <w:r>
        <w:rPr>
          <w:rFonts w:ascii="仿宋_GB2312" w:eastAsia="仿宋_GB2312" w:cs="DengXian-Regular" w:hint="eastAsia"/>
          <w:sz w:val="32"/>
          <w:szCs w:val="32"/>
        </w:rPr>
        <w:t>0.14</w:t>
      </w:r>
      <w:r>
        <w:rPr>
          <w:rFonts w:ascii="仿宋_GB2312" w:eastAsia="仿宋_GB2312" w:cs="DengXian-Regular" w:hint="eastAsia"/>
          <w:sz w:val="32"/>
          <w:szCs w:val="32"/>
        </w:rPr>
        <w:t>万元，</w:t>
      </w:r>
      <w:r>
        <w:rPr>
          <w:rFonts w:ascii="仿宋_GB2312" w:eastAsia="仿宋_GB2312" w:cs="DengXian-Regular" w:hint="eastAsia"/>
          <w:sz w:val="32"/>
          <w:szCs w:val="32"/>
        </w:rPr>
        <w:t>占</w:t>
      </w:r>
      <w:r>
        <w:rPr>
          <w:rFonts w:ascii="仿宋_GB2312" w:eastAsia="仿宋_GB2312" w:cs="DengXian-Regular" w:hint="eastAsia"/>
          <w:sz w:val="32"/>
          <w:szCs w:val="32"/>
        </w:rPr>
        <w:t>21</w:t>
      </w:r>
      <w:r>
        <w:rPr>
          <w:rFonts w:ascii="仿宋_GB2312" w:eastAsia="仿宋_GB2312" w:cs="DengXian-Regular" w:hint="eastAsia"/>
          <w:sz w:val="32"/>
          <w:szCs w:val="32"/>
        </w:rPr>
        <w:t>%</w:t>
      </w:r>
      <w:r>
        <w:rPr>
          <w:rFonts w:ascii="仿宋_GB2312" w:eastAsia="仿宋_GB2312" w:cs="DengXian-Regular" w:hint="eastAsia"/>
          <w:sz w:val="32"/>
          <w:szCs w:val="32"/>
        </w:rPr>
        <w:t>；文物保护支出</w:t>
      </w:r>
      <w:r>
        <w:rPr>
          <w:rFonts w:ascii="仿宋_GB2312" w:eastAsia="仿宋_GB2312" w:cs="DengXian-Regular" w:hint="eastAsia"/>
          <w:sz w:val="32"/>
          <w:szCs w:val="32"/>
        </w:rPr>
        <w:t>0.53</w:t>
      </w:r>
      <w:r>
        <w:rPr>
          <w:rFonts w:ascii="仿宋_GB2312" w:eastAsia="仿宋_GB2312" w:cs="DengXian-Regular" w:hint="eastAsia"/>
          <w:sz w:val="32"/>
          <w:szCs w:val="32"/>
        </w:rPr>
        <w:t>，</w:t>
      </w:r>
      <w:r>
        <w:rPr>
          <w:rFonts w:ascii="仿宋" w:eastAsia="仿宋" w:hAnsi="仿宋" w:cs="仿宋" w:hint="eastAsia"/>
          <w:sz w:val="32"/>
          <w:szCs w:val="32"/>
        </w:rPr>
        <w:t>占</w:t>
      </w:r>
      <w:r>
        <w:rPr>
          <w:rFonts w:ascii="仿宋" w:eastAsia="仿宋" w:hAnsi="仿宋" w:cs="仿宋" w:hint="eastAsia"/>
          <w:sz w:val="32"/>
          <w:szCs w:val="32"/>
        </w:rPr>
        <w:t>79%</w:t>
      </w:r>
      <w:r>
        <w:rPr>
          <w:rFonts w:ascii="仿宋" w:eastAsia="仿宋" w:hAnsi="仿宋" w:cs="仿宋" w:hint="eastAsia"/>
          <w:sz w:val="32"/>
          <w:szCs w:val="32"/>
        </w:rPr>
        <w:t>；</w:t>
      </w:r>
      <w:r>
        <w:rPr>
          <w:rFonts w:ascii="仿宋_GB2312" w:eastAsia="仿宋_GB2312" w:cs="仿宋_GB2312" w:hint="eastAsia"/>
          <w:sz w:val="32"/>
          <w:szCs w:val="32"/>
        </w:rPr>
        <w:t>一般公共服务（类）支出</w:t>
      </w:r>
      <w:r>
        <w:rPr>
          <w:rFonts w:ascii="仿宋_GB2312" w:eastAsia="仿宋_GB2312" w:cs="仿宋_GB2312" w:hint="eastAsia"/>
          <w:sz w:val="32"/>
          <w:szCs w:val="32"/>
        </w:rPr>
        <w:t>0</w:t>
      </w:r>
      <w:r>
        <w:rPr>
          <w:rFonts w:ascii="仿宋_GB2312" w:eastAsia="仿宋_GB2312" w:cs="仿宋_GB2312" w:hint="eastAsia"/>
          <w:sz w:val="32"/>
          <w:szCs w:val="32"/>
        </w:rPr>
        <w:t>万元，占</w:t>
      </w:r>
      <w:r>
        <w:rPr>
          <w:rFonts w:ascii="仿宋_GB2312" w:eastAsia="仿宋_GB2312" w:cs="仿宋_GB2312" w:hint="eastAsia"/>
          <w:sz w:val="32"/>
          <w:szCs w:val="32"/>
        </w:rPr>
        <w:t>0</w:t>
      </w:r>
      <w:r>
        <w:rPr>
          <w:rFonts w:ascii="仿宋_GB2312" w:eastAsia="仿宋_GB2312" w:cs="仿宋_GB2312"/>
          <w:sz w:val="32"/>
          <w:szCs w:val="32"/>
        </w:rPr>
        <w:t>%</w:t>
      </w:r>
      <w:r>
        <w:rPr>
          <w:rFonts w:ascii="仿宋_GB2312" w:eastAsia="仿宋_GB2312" w:cs="仿宋_GB2312" w:hint="eastAsia"/>
          <w:sz w:val="32"/>
          <w:szCs w:val="32"/>
        </w:rPr>
        <w:t>；公共安全（类）支出</w:t>
      </w:r>
      <w:r>
        <w:rPr>
          <w:rFonts w:ascii="仿宋_GB2312" w:eastAsia="仿宋_GB2312" w:cs="仿宋_GB2312" w:hint="eastAsia"/>
          <w:sz w:val="32"/>
          <w:szCs w:val="32"/>
        </w:rPr>
        <w:t>0</w:t>
      </w:r>
      <w:r>
        <w:rPr>
          <w:rFonts w:ascii="仿宋_GB2312" w:eastAsia="仿宋_GB2312" w:cs="仿宋_GB2312" w:hint="eastAsia"/>
          <w:sz w:val="32"/>
          <w:szCs w:val="32"/>
        </w:rPr>
        <w:t>万元，占</w:t>
      </w:r>
      <w:r>
        <w:rPr>
          <w:rFonts w:ascii="仿宋_GB2312" w:eastAsia="仿宋_GB2312" w:cs="仿宋_GB2312" w:hint="eastAsia"/>
          <w:sz w:val="32"/>
          <w:szCs w:val="32"/>
        </w:rPr>
        <w:t>0%</w:t>
      </w:r>
      <w:r>
        <w:rPr>
          <w:rFonts w:ascii="仿宋_GB2312" w:eastAsia="仿宋_GB2312" w:cs="仿宋_GB2312" w:hint="eastAsia"/>
          <w:sz w:val="32"/>
          <w:szCs w:val="32"/>
        </w:rPr>
        <w:t>；</w:t>
      </w:r>
      <w:r>
        <w:rPr>
          <w:rFonts w:ascii="仿宋" w:eastAsia="仿宋" w:hAnsi="仿宋" w:cs="微软雅黑" w:hint="eastAsia"/>
          <w:sz w:val="32"/>
          <w:szCs w:val="32"/>
        </w:rPr>
        <w:t>教育</w:t>
      </w:r>
      <w:r>
        <w:rPr>
          <w:rFonts w:ascii="仿宋" w:eastAsia="仿宋" w:hAnsi="仿宋" w:cs="___WRD_EMBED_SUB_47" w:hint="eastAsia"/>
          <w:sz w:val="32"/>
          <w:szCs w:val="32"/>
        </w:rPr>
        <w:t>（</w:t>
      </w:r>
      <w:r>
        <w:rPr>
          <w:rFonts w:ascii="仿宋_GB2312" w:eastAsia="仿宋_GB2312" w:cs="仿宋_GB2312" w:hint="eastAsia"/>
          <w:sz w:val="32"/>
          <w:szCs w:val="32"/>
        </w:rPr>
        <w:t>类）支出</w:t>
      </w:r>
      <w:r>
        <w:rPr>
          <w:rFonts w:ascii="仿宋_GB2312" w:eastAsia="仿宋_GB2312" w:cs="仿宋_GB2312" w:hint="eastAsia"/>
          <w:sz w:val="32"/>
          <w:szCs w:val="32"/>
        </w:rPr>
        <w:t>0</w:t>
      </w:r>
      <w:r>
        <w:rPr>
          <w:rFonts w:ascii="仿宋_GB2312" w:eastAsia="仿宋_GB2312" w:cs="仿宋_GB2312" w:hint="eastAsia"/>
          <w:sz w:val="32"/>
          <w:szCs w:val="32"/>
        </w:rPr>
        <w:t>万元，占</w:t>
      </w:r>
      <w:r>
        <w:rPr>
          <w:rFonts w:ascii="仿宋_GB2312" w:eastAsia="仿宋_GB2312" w:cs="仿宋_GB2312" w:hint="eastAsia"/>
          <w:sz w:val="32"/>
          <w:szCs w:val="32"/>
        </w:rPr>
        <w:t>0%</w:t>
      </w:r>
      <w:r>
        <w:rPr>
          <w:rFonts w:ascii="仿宋_GB2312" w:eastAsia="仿宋_GB2312" w:cs="仿宋_GB2312" w:hint="eastAsia"/>
          <w:sz w:val="32"/>
          <w:szCs w:val="32"/>
        </w:rPr>
        <w:t>；科</w:t>
      </w:r>
      <w:r>
        <w:rPr>
          <w:rFonts w:ascii="仿宋" w:eastAsia="仿宋" w:hAnsi="仿宋" w:cs="微软雅黑" w:hint="eastAsia"/>
          <w:sz w:val="32"/>
          <w:szCs w:val="32"/>
        </w:rPr>
        <w:t>学</w:t>
      </w:r>
      <w:r>
        <w:rPr>
          <w:rFonts w:ascii="仿宋_GB2312" w:eastAsia="仿宋_GB2312" w:cs="仿宋_GB2312" w:hint="eastAsia"/>
          <w:sz w:val="32"/>
          <w:szCs w:val="32"/>
        </w:rPr>
        <w:t>技术（类）支出</w:t>
      </w:r>
      <w:r>
        <w:rPr>
          <w:rFonts w:ascii="仿宋_GB2312" w:eastAsia="仿宋_GB2312" w:cs="仿宋_GB2312" w:hint="eastAsia"/>
          <w:sz w:val="32"/>
          <w:szCs w:val="32"/>
        </w:rPr>
        <w:t>0</w:t>
      </w:r>
      <w:r>
        <w:rPr>
          <w:rFonts w:ascii="仿宋_GB2312" w:eastAsia="仿宋_GB2312" w:cs="仿宋_GB2312" w:hint="eastAsia"/>
          <w:sz w:val="32"/>
          <w:szCs w:val="32"/>
        </w:rPr>
        <w:t>万元，占</w:t>
      </w:r>
      <w:r>
        <w:rPr>
          <w:rFonts w:ascii="仿宋_GB2312" w:eastAsia="仿宋_GB2312" w:cs="仿宋_GB2312" w:hint="eastAsia"/>
          <w:sz w:val="32"/>
          <w:szCs w:val="32"/>
        </w:rPr>
        <w:t>0%</w:t>
      </w:r>
      <w:r>
        <w:rPr>
          <w:rFonts w:ascii="仿宋_GB2312" w:eastAsia="仿宋_GB2312" w:cs="仿宋_GB2312" w:hint="eastAsia"/>
          <w:sz w:val="32"/>
          <w:szCs w:val="32"/>
        </w:rPr>
        <w:t>；社会保障和</w:t>
      </w:r>
      <w:r>
        <w:rPr>
          <w:rFonts w:ascii="仿宋" w:eastAsia="仿宋" w:hAnsi="仿宋" w:cs="微软雅黑" w:hint="eastAsia"/>
          <w:sz w:val="32"/>
          <w:szCs w:val="32"/>
        </w:rPr>
        <w:t>就</w:t>
      </w:r>
      <w:r>
        <w:rPr>
          <w:rFonts w:ascii="仿宋" w:eastAsia="仿宋" w:hAnsi="仿宋" w:cs="___WRD_EMBED_SUB_47" w:hint="eastAsia"/>
          <w:sz w:val="32"/>
          <w:szCs w:val="32"/>
        </w:rPr>
        <w:t>业（</w:t>
      </w:r>
      <w:r>
        <w:rPr>
          <w:rFonts w:ascii="仿宋_GB2312" w:eastAsia="仿宋_GB2312" w:cs="仿宋_GB2312" w:hint="eastAsia"/>
          <w:sz w:val="32"/>
          <w:szCs w:val="32"/>
        </w:rPr>
        <w:t>类）支出</w:t>
      </w:r>
      <w:r>
        <w:rPr>
          <w:rFonts w:ascii="仿宋_GB2312" w:eastAsia="仿宋_GB2312" w:cs="仿宋_GB2312" w:hint="eastAsia"/>
          <w:sz w:val="32"/>
          <w:szCs w:val="32"/>
        </w:rPr>
        <w:t>0</w:t>
      </w:r>
      <w:r>
        <w:rPr>
          <w:rFonts w:ascii="仿宋_GB2312" w:eastAsia="仿宋_GB2312" w:cs="仿宋_GB2312" w:hint="eastAsia"/>
          <w:sz w:val="32"/>
          <w:szCs w:val="32"/>
        </w:rPr>
        <w:t>万元，占</w:t>
      </w:r>
      <w:r>
        <w:rPr>
          <w:rFonts w:ascii="仿宋_GB2312" w:eastAsia="仿宋_GB2312" w:cs="仿宋_GB2312" w:hint="eastAsia"/>
          <w:sz w:val="32"/>
          <w:szCs w:val="32"/>
        </w:rPr>
        <w:t>0%</w:t>
      </w:r>
      <w:r>
        <w:rPr>
          <w:rFonts w:ascii="仿宋_GB2312" w:eastAsia="仿宋_GB2312" w:cs="仿宋_GB2312" w:hint="eastAsia"/>
          <w:sz w:val="32"/>
          <w:szCs w:val="32"/>
        </w:rPr>
        <w:t>；住房保障（类）支出</w:t>
      </w:r>
      <w:r>
        <w:rPr>
          <w:rFonts w:ascii="仿宋_GB2312" w:eastAsia="仿宋_GB2312" w:cs="仿宋_GB2312" w:hint="eastAsia"/>
          <w:sz w:val="32"/>
          <w:szCs w:val="32"/>
        </w:rPr>
        <w:t>0</w:t>
      </w:r>
      <w:r>
        <w:rPr>
          <w:rFonts w:ascii="仿宋_GB2312" w:eastAsia="仿宋_GB2312" w:cs="仿宋_GB2312" w:hint="eastAsia"/>
          <w:sz w:val="32"/>
          <w:szCs w:val="32"/>
        </w:rPr>
        <w:t>万元，占</w:t>
      </w:r>
      <w:r>
        <w:rPr>
          <w:rFonts w:ascii="仿宋_GB2312" w:eastAsia="仿宋_GB2312" w:cs="仿宋_GB2312" w:hint="eastAsia"/>
          <w:sz w:val="32"/>
          <w:szCs w:val="32"/>
        </w:rPr>
        <w:t>0%</w:t>
      </w:r>
    </w:p>
    <w:p w:rsidR="0037387F" w:rsidRDefault="0037387F">
      <w:pPr>
        <w:adjustRightInd w:val="0"/>
        <w:snapToGrid w:val="0"/>
        <w:spacing w:after="0" w:line="580" w:lineRule="exact"/>
        <w:rPr>
          <w:rFonts w:ascii="楷体_GB2312" w:eastAsia="楷体_GB2312" w:cs="DengXian-Bold"/>
          <w:b/>
          <w:bCs/>
          <w:sz w:val="32"/>
          <w:szCs w:val="32"/>
        </w:rPr>
      </w:pPr>
    </w:p>
    <w:tbl>
      <w:tblPr>
        <w:tblW w:w="5856" w:type="dxa"/>
        <w:tblInd w:w="108" w:type="dxa"/>
        <w:tblLook w:val="04A0"/>
      </w:tblPr>
      <w:tblGrid>
        <w:gridCol w:w="1176"/>
        <w:gridCol w:w="976"/>
        <w:gridCol w:w="976"/>
        <w:gridCol w:w="976"/>
        <w:gridCol w:w="976"/>
        <w:gridCol w:w="976"/>
      </w:tblGrid>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r>
              <w:rPr>
                <w:rFonts w:ascii="Arial" w:hAnsi="Arial" w:cs="Arial"/>
                <w:noProof/>
                <w:color w:val="000000"/>
                <w:kern w:val="0"/>
                <w:sz w:val="20"/>
                <w:szCs w:val="20"/>
              </w:rPr>
              <w:drawing>
                <wp:anchor distT="0" distB="0" distL="114300" distR="114300" simplePos="0" relativeHeight="251689984" behindDoc="0" locked="0" layoutInCell="1" allowOverlap="1">
                  <wp:simplePos x="0" y="0"/>
                  <wp:positionH relativeFrom="column">
                    <wp:posOffset>200025</wp:posOffset>
                  </wp:positionH>
                  <wp:positionV relativeFrom="paragraph">
                    <wp:posOffset>85725</wp:posOffset>
                  </wp:positionV>
                  <wp:extent cx="3124200" cy="2914650"/>
                  <wp:effectExtent l="19050" t="0" r="19050" b="0"/>
                  <wp:wrapNone/>
                  <wp:docPr id="8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tbl>
            <w:tblPr>
              <w:tblW w:w="0" w:type="auto"/>
              <w:tblCellSpacing w:w="0" w:type="dxa"/>
              <w:tblCellMar>
                <w:left w:w="0" w:type="dxa"/>
                <w:right w:w="0" w:type="dxa"/>
              </w:tblCellMar>
              <w:tblLook w:val="04A0"/>
            </w:tblPr>
            <w:tblGrid>
              <w:gridCol w:w="960"/>
            </w:tblGrid>
            <w:tr w:rsidR="007548F3" w:rsidRPr="007548F3">
              <w:trPr>
                <w:trHeight w:val="255"/>
                <w:tblCellSpacing w:w="0" w:type="dxa"/>
              </w:trPr>
              <w:tc>
                <w:tcPr>
                  <w:tcW w:w="960"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bl>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r w:rsidR="007548F3" w:rsidRPr="007548F3" w:rsidTr="007548F3">
        <w:trPr>
          <w:trHeight w:val="255"/>
        </w:trPr>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noWrap/>
            <w:vAlign w:val="bottom"/>
            <w:hideMark/>
          </w:tcPr>
          <w:p w:rsidR="007548F3" w:rsidRPr="007548F3" w:rsidRDefault="007548F3" w:rsidP="007548F3">
            <w:pPr>
              <w:widowControl/>
              <w:spacing w:after="0" w:line="240" w:lineRule="auto"/>
              <w:jc w:val="left"/>
              <w:rPr>
                <w:rFonts w:ascii="Arial" w:hAnsi="Arial" w:cs="Arial"/>
                <w:color w:val="000000"/>
                <w:kern w:val="0"/>
                <w:sz w:val="20"/>
                <w:szCs w:val="20"/>
              </w:rPr>
            </w:pPr>
          </w:p>
        </w:tc>
      </w:tr>
    </w:tbl>
    <w:p w:rsidR="0037387F" w:rsidRDefault="00086B43" w:rsidP="0037387F">
      <w:pPr>
        <w:adjustRightInd w:val="0"/>
        <w:snapToGrid w:val="0"/>
        <w:spacing w:after="0" w:line="580" w:lineRule="exact"/>
        <w:ind w:leftChars="200" w:left="420" w:firstLineChars="300" w:firstLine="961"/>
        <w:rPr>
          <w:rFonts w:ascii="楷体_GB2312" w:eastAsia="楷体_GB2312" w:cs="DengXian-Bold"/>
          <w:b/>
          <w:bCs/>
          <w:sz w:val="32"/>
          <w:szCs w:val="32"/>
        </w:rPr>
      </w:pPr>
      <w:r>
        <w:rPr>
          <w:rFonts w:ascii="楷体_GB2312" w:eastAsia="楷体_GB2312" w:cs="DengXian-Bold" w:hint="eastAsia"/>
          <w:b/>
          <w:bCs/>
          <w:sz w:val="32"/>
          <w:szCs w:val="32"/>
        </w:rPr>
        <w:t>图</w:t>
      </w:r>
      <w:r>
        <w:rPr>
          <w:rFonts w:ascii="楷体_GB2312" w:eastAsia="楷体_GB2312" w:cs="DengXian-Bold" w:hint="eastAsia"/>
          <w:b/>
          <w:bCs/>
          <w:sz w:val="32"/>
          <w:szCs w:val="32"/>
        </w:rPr>
        <w:t>5</w:t>
      </w:r>
      <w:r>
        <w:rPr>
          <w:rFonts w:ascii="楷体_GB2312" w:eastAsia="楷体_GB2312" w:cs="DengXian-Bold" w:hint="eastAsia"/>
          <w:b/>
          <w:bCs/>
          <w:sz w:val="32"/>
          <w:szCs w:val="32"/>
        </w:rPr>
        <w:t>：财政拨款支出决算结构</w:t>
      </w:r>
    </w:p>
    <w:p w:rsidR="0037387F" w:rsidRDefault="0037387F">
      <w:pPr>
        <w:adjustRightInd w:val="0"/>
        <w:snapToGrid w:val="0"/>
        <w:spacing w:after="0" w:line="580" w:lineRule="exact"/>
        <w:ind w:leftChars="200" w:left="420"/>
        <w:rPr>
          <w:rFonts w:ascii="楷体_GB2312" w:eastAsia="楷体_GB2312" w:cs="DengXian-Bold"/>
          <w:b/>
          <w:bCs/>
          <w:sz w:val="32"/>
          <w:szCs w:val="32"/>
        </w:rPr>
      </w:pPr>
    </w:p>
    <w:p w:rsidR="0037387F" w:rsidRDefault="0037387F">
      <w:pPr>
        <w:adjustRightInd w:val="0"/>
        <w:snapToGrid w:val="0"/>
        <w:spacing w:after="0" w:line="580" w:lineRule="exact"/>
        <w:ind w:leftChars="200" w:left="420"/>
        <w:rPr>
          <w:rFonts w:ascii="仿宋_GB2312" w:eastAsia="仿宋_GB2312" w:cs="DengXian-Regular"/>
          <w:sz w:val="32"/>
          <w:szCs w:val="32"/>
          <w:highlight w:val="yellow"/>
        </w:rPr>
      </w:pPr>
      <w:r w:rsidRPr="0037387F">
        <w:rPr>
          <w:rFonts w:asciiTheme="minorEastAsia" w:eastAsiaTheme="minorEastAsia" w:hAnsiTheme="minorEastAsia" w:cstheme="minorEastAsia"/>
          <w:sz w:val="44"/>
        </w:rPr>
        <w:pict>
          <v:group id="_x0000_s1049" style="position:absolute;left:0;text-align:left;margin-left:-.55pt;margin-top:29.3pt;width:301.85pt;height:43.95pt;z-index:251676672;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v:rect id="矩形 13" o:spid="_x0000_s1051" style="position:absolute;left:4551;top:52615;width:8546;height:1175;v-text-anchor:middle"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fillcolor="#d9d9d9" stroked="f" strokeweight="2pt"/>
            <v:rect id="矩形 14" o:spid="_x0000_s1050" style="position:absolute;left:4577;top:52890;width:8324;height:1123;v-text-anchor:middle"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sidR="00086B43">
        <w:rPr>
          <w:rFonts w:asciiTheme="minorEastAsia" w:eastAsiaTheme="minorEastAsia" w:hAnsiTheme="minorEastAsia" w:cstheme="minorEastAsia" w:hint="eastAsia"/>
          <w:sz w:val="32"/>
          <w:szCs w:val="32"/>
        </w:rPr>
        <w:t>（四）一般公共预算财政拨款基本支出决算情况说明</w:t>
      </w:r>
      <w:r w:rsidRPr="0037387F">
        <w:rPr>
          <w:sz w:val="44"/>
        </w:rPr>
        <w:pict>
          <v:group id="_x0000_s1046" style="position:absolute;left:0;text-align:left;margin-left:-.55pt;margin-top:29.3pt;width:301.85pt;height:43.95pt;z-index:251683840;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v:rect id="矩形 13" o:spid="_x0000_s1048" style="position:absolute;left:4551;top:52615;width:8546;height:1175;v-text-anchor:middle"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fillcolor="#d9d9d9" stroked="f" strokeweight="2pt"/>
            <v:rect id="矩形 14" o:spid="_x0000_s1047" style="position:absolute;left:4577;top:52890;width:8324;height:1123;v-text-anchor:middle"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0.67</w:t>
      </w:r>
      <w:r>
        <w:rPr>
          <w:rFonts w:ascii="仿宋_GB2312" w:eastAsia="仿宋_GB2312" w:cs="DengXian-Regular" w:hint="eastAsia"/>
          <w:sz w:val="32"/>
          <w:szCs w:val="32"/>
        </w:rPr>
        <w:t>万元，其</w:t>
      </w:r>
      <w:r>
        <w:rPr>
          <w:rFonts w:ascii="仿宋_GB2312" w:eastAsia="仿宋_GB2312" w:cs="DengXian-Regular" w:hint="eastAsia"/>
          <w:sz w:val="32"/>
          <w:szCs w:val="32"/>
        </w:rPr>
        <w:lastRenderedPageBreak/>
        <w:t>中：</w:t>
      </w:r>
      <w:r>
        <w:rPr>
          <w:rFonts w:ascii="仿宋_GB2312" w:eastAsia="仿宋_GB2312" w:cs="DengXian-Regular" w:hint="eastAsia"/>
          <w:sz w:val="32"/>
          <w:szCs w:val="32"/>
        </w:rPr>
        <w:t>人员经费</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sz w:val="32"/>
          <w:szCs w:val="32"/>
        </w:rPr>
        <w:t>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r>
        <w:rPr>
          <w:rFonts w:ascii="仿宋_GB2312" w:eastAsia="仿宋_GB2312" w:cs="DengXian-Regular" w:hint="eastAsia"/>
          <w:sz w:val="32"/>
          <w:szCs w:val="32"/>
        </w:rPr>
        <w:t>；</w:t>
      </w:r>
      <w:r>
        <w:rPr>
          <w:rFonts w:ascii="仿宋_GB2312" w:eastAsia="仿宋_GB2312" w:cs="DengXian-Regular" w:hint="eastAsia"/>
          <w:sz w:val="32"/>
          <w:szCs w:val="32"/>
        </w:rPr>
        <w:t>公用经费</w:t>
      </w:r>
      <w:r>
        <w:rPr>
          <w:rFonts w:ascii="仿宋_GB2312" w:eastAsia="仿宋_GB2312" w:cs="DengXian-Regular" w:hint="eastAsia"/>
          <w:sz w:val="32"/>
          <w:szCs w:val="32"/>
        </w:rPr>
        <w:t xml:space="preserve"> </w:t>
      </w:r>
      <w:r>
        <w:rPr>
          <w:rFonts w:ascii="仿宋_GB2312" w:eastAsia="仿宋_GB2312" w:cs="DengXian-Regular" w:hint="eastAsia"/>
          <w:sz w:val="32"/>
          <w:szCs w:val="32"/>
        </w:rPr>
        <w:t>0.67</w:t>
      </w:r>
      <w:r>
        <w:rPr>
          <w:rFonts w:ascii="仿宋_GB2312" w:eastAsia="仿宋_GB2312"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bookmarkStart w:id="0" w:name="_GoBack"/>
      <w:bookmarkEnd w:id="0"/>
      <w:r>
        <w:rPr>
          <w:rFonts w:ascii="仿宋_GB2312" w:eastAsia="仿宋_GB2312" w:cs="DengXian-Regular" w:hint="eastAsia"/>
          <w:sz w:val="32"/>
          <w:szCs w:val="32"/>
        </w:rPr>
        <w:t>。</w:t>
      </w:r>
    </w:p>
    <w:p w:rsidR="0037387F" w:rsidRDefault="00086B43">
      <w:pPr>
        <w:pStyle w:val="2"/>
        <w:spacing w:before="0" w:after="0" w:line="580" w:lineRule="exact"/>
        <w:ind w:firstLineChars="200" w:firstLine="640"/>
        <w:rPr>
          <w:rFonts w:ascii="仿宋_GB2312" w:eastAsia="仿宋_GB2312" w:hAnsi="Times New Roman" w:cs="DengXian-Regular"/>
          <w:b w:val="0"/>
          <w:bCs w:val="0"/>
          <w:highlight w:val="yellow"/>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b/>
          <w:bCs/>
          <w:sz w:val="32"/>
          <w:szCs w:val="32"/>
        </w:rPr>
        <w:t>较年初预算无增减变化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本部</w:t>
      </w:r>
      <w:r>
        <w:rPr>
          <w:rFonts w:ascii="仿宋_GB2312" w:eastAsia="仿宋_GB2312" w:cs="DengXian-Regular" w:hint="eastAsia"/>
          <w:sz w:val="32"/>
          <w:szCs w:val="32"/>
        </w:rPr>
        <w:t>门无</w:t>
      </w:r>
      <w:r>
        <w:rPr>
          <w:rFonts w:ascii="仿宋_GB2312" w:eastAsia="仿宋_GB2312" w:cs="DengXian-Regular" w:hint="eastAsia"/>
          <w:sz w:val="32"/>
          <w:szCs w:val="32"/>
        </w:rPr>
        <w:t>一般公共预算财政拨款“</w:t>
      </w:r>
      <w:r>
        <w:rPr>
          <w:rFonts w:ascii="仿宋_GB2312" w:eastAsia="仿宋_GB2312" w:cs="DengXian-Regular" w:hint="eastAsia"/>
          <w:sz w:val="32"/>
          <w:szCs w:val="32"/>
        </w:rPr>
        <w:t>三公</w:t>
      </w:r>
      <w:r>
        <w:rPr>
          <w:rFonts w:ascii="仿宋_GB2312" w:eastAsia="仿宋_GB2312" w:cs="DengXian-Regular" w:hint="eastAsia"/>
          <w:sz w:val="32"/>
          <w:szCs w:val="32"/>
        </w:rPr>
        <w:t>”</w:t>
      </w:r>
      <w:r>
        <w:rPr>
          <w:rFonts w:ascii="仿宋_GB2312" w:eastAsia="仿宋_GB2312" w:cs="DengXian-Regular" w:hint="eastAsia"/>
          <w:sz w:val="32"/>
          <w:szCs w:val="32"/>
        </w:rPr>
        <w:t>经费支出。</w:t>
      </w:r>
      <w:r>
        <w:rPr>
          <w:rFonts w:ascii="仿宋_GB2312" w:eastAsia="仿宋_GB2312" w:cs="DengXian-Regular" w:hint="eastAsia"/>
          <w:sz w:val="32"/>
          <w:szCs w:val="32"/>
        </w:rPr>
        <w:t>具体情况如下：</w:t>
      </w:r>
    </w:p>
    <w:p w:rsidR="0037387F" w:rsidRDefault="00086B43" w:rsidP="0037387F">
      <w:pPr>
        <w:adjustRightInd w:val="0"/>
        <w:snapToGrid w:val="0"/>
        <w:spacing w:after="0" w:line="580" w:lineRule="exact"/>
        <w:ind w:firstLineChars="200" w:firstLine="641"/>
        <w:rPr>
          <w:rFonts w:ascii="仿宋_GB2312" w:eastAsia="仿宋_GB2312" w:cs="DengXian-Regular"/>
          <w:sz w:val="32"/>
          <w:szCs w:val="32"/>
        </w:rPr>
      </w:pPr>
      <w:r>
        <w:rPr>
          <w:rFonts w:ascii="楷体_GB2312" w:eastAsia="楷体_GB2312" w:cs="DengXian-Bold" w:hint="eastAsia"/>
          <w:b/>
          <w:bCs/>
          <w:sz w:val="32"/>
          <w:szCs w:val="32"/>
        </w:rPr>
        <w:t>（</w:t>
      </w:r>
      <w:r w:rsidR="0037387F" w:rsidRPr="0037387F">
        <w:rPr>
          <w:sz w:val="44"/>
        </w:rPr>
        <w:pict>
          <v:group id="_x0000_s1043" style="position:absolute;left:0;text-align:left;margin-left:-.55pt;margin-top:29.3pt;width:301.85pt;height:43.95pt;z-index:251677696;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v:rect id="矩形 13" o:spid="_x0000_s1045" style="position:absolute;left:4551;top:52615;width:8546;height:1175;v-text-anchor:middle"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fillcolor="#d9d9d9" stroked="f" strokeweight="2pt"/>
            <v:rect id="矩形 14" o:spid="_x0000_s1044" style="position:absolute;left:4577;top:52890;width:8324;height:1123;v-text-anchor:middle"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无本单位组织的出国（境）团组。因</w:t>
      </w:r>
      <w:r>
        <w:rPr>
          <w:rFonts w:ascii="仿宋_GB2312" w:eastAsia="仿宋_GB2312" w:cs="DengXian-Regular" w:hint="eastAsia"/>
          <w:sz w:val="32"/>
          <w:szCs w:val="32"/>
        </w:rPr>
        <w:lastRenderedPageBreak/>
        <w:t>公出国（境）费支出较年初预算无增减变化，</w:t>
      </w:r>
      <w:r>
        <w:rPr>
          <w:rFonts w:ascii="仿宋_GB2312" w:eastAsia="仿宋_GB2312" w:cs="DengXian-Regular" w:hint="eastAsia"/>
          <w:sz w:val="32"/>
          <w:szCs w:val="32"/>
        </w:rPr>
        <w:t>主要是</w:t>
      </w:r>
      <w:r>
        <w:rPr>
          <w:rFonts w:ascii="仿宋_GB2312" w:eastAsia="仿宋_GB2312" w:cs="DengXian-Regular" w:hint="eastAsia"/>
          <w:sz w:val="32"/>
          <w:szCs w:val="32"/>
        </w:rPr>
        <w:t>本单位无因公出国（境）费用。</w:t>
      </w:r>
    </w:p>
    <w:p w:rsidR="0037387F" w:rsidRDefault="00086B43" w:rsidP="0037387F">
      <w:pPr>
        <w:numPr>
          <w:ilvl w:val="0"/>
          <w:numId w:val="3"/>
        </w:numPr>
        <w:adjustRightInd w:val="0"/>
        <w:snapToGrid w:val="0"/>
        <w:spacing w:after="0" w:line="580" w:lineRule="exact"/>
        <w:ind w:firstLineChars="200" w:firstLine="641"/>
        <w:rPr>
          <w:rFonts w:ascii="仿宋_GB2312" w:eastAsia="仿宋_GB2312" w:cs="DengXian-Bold"/>
          <w:b/>
          <w:bCs/>
          <w:sz w:val="32"/>
          <w:szCs w:val="32"/>
        </w:rPr>
      </w:pPr>
      <w:r>
        <w:rPr>
          <w:rFonts w:ascii="楷体_GB2312" w:eastAsia="楷体_GB2312" w:cs="DengXian-Bold" w:hint="eastAsia"/>
          <w:b/>
          <w:bCs/>
          <w:sz w:val="32"/>
          <w:szCs w:val="32"/>
        </w:rPr>
        <w:t>公务用车购置及运行维护费支出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年度公务用车购置及运行维护费较年初预算无增减变化。</w:t>
      </w:r>
      <w:r>
        <w:rPr>
          <w:rFonts w:ascii="仿宋_GB2312" w:eastAsia="仿宋_GB2312" w:cs="DengXian-Regular" w:hint="eastAsia"/>
          <w:sz w:val="32"/>
          <w:szCs w:val="32"/>
        </w:rPr>
        <w:t>主要是本部门无公务用车购置及运行维护费支出。</w:t>
      </w:r>
      <w:r>
        <w:rPr>
          <w:rFonts w:ascii="仿宋_GB2312" w:eastAsia="仿宋_GB2312" w:cs="DengXian-Bold" w:hint="eastAsia"/>
          <w:b/>
          <w:bCs/>
          <w:sz w:val="32"/>
          <w:szCs w:val="32"/>
        </w:rPr>
        <w:t>其中：</w:t>
      </w:r>
    </w:p>
    <w:p w:rsidR="0037387F" w:rsidRDefault="00086B43" w:rsidP="0037387F">
      <w:pPr>
        <w:adjustRightInd w:val="0"/>
        <w:snapToGrid w:val="0"/>
        <w:spacing w:after="0" w:line="580" w:lineRule="exact"/>
        <w:ind w:firstLineChars="200" w:firstLine="641"/>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万元。公务用车购置费支出较年初预算持平，</w:t>
      </w:r>
      <w:r>
        <w:rPr>
          <w:rFonts w:ascii="仿宋_GB2312" w:eastAsia="仿宋_GB2312" w:cs="DengXian-Regular" w:hint="eastAsia"/>
          <w:sz w:val="32"/>
          <w:szCs w:val="32"/>
        </w:rPr>
        <w:t>主要是</w:t>
      </w:r>
      <w:r>
        <w:rPr>
          <w:rFonts w:ascii="仿宋_GB2312" w:eastAsia="仿宋_GB2312" w:cs="DengXian-Regular" w:hint="eastAsia"/>
          <w:sz w:val="32"/>
          <w:szCs w:val="32"/>
        </w:rPr>
        <w:t>本单位未发生公务用车购置经费支出。</w:t>
      </w:r>
    </w:p>
    <w:p w:rsidR="0037387F" w:rsidRDefault="0037387F">
      <w:pPr>
        <w:adjustRightInd w:val="0"/>
        <w:snapToGrid w:val="0"/>
        <w:spacing w:after="0" w:line="580" w:lineRule="exact"/>
        <w:ind w:firstLineChars="200" w:firstLine="640"/>
        <w:rPr>
          <w:rFonts w:ascii="仿宋_GB2312" w:eastAsia="仿宋_GB2312" w:cs="DengXian-Regular"/>
          <w:color w:val="000000" w:themeColor="text1"/>
          <w:sz w:val="32"/>
          <w:szCs w:val="32"/>
        </w:rPr>
      </w:pPr>
    </w:p>
    <w:p w:rsidR="0037387F" w:rsidRDefault="00086B43" w:rsidP="0037387F">
      <w:pPr>
        <w:adjustRightInd w:val="0"/>
        <w:snapToGrid w:val="0"/>
        <w:spacing w:after="0" w:line="580" w:lineRule="exact"/>
        <w:ind w:firstLineChars="200" w:firstLine="641"/>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0</w:t>
      </w:r>
      <w:r>
        <w:rPr>
          <w:rFonts w:ascii="仿宋_GB2312" w:eastAsia="仿宋_GB2312" w:cs="DengXian-Regular" w:hint="eastAsia"/>
          <w:sz w:val="32"/>
          <w:szCs w:val="32"/>
        </w:rPr>
        <w:t>辆。公车运行维护费支出于年初预算持平。</w:t>
      </w:r>
      <w:r>
        <w:rPr>
          <w:rFonts w:ascii="仿宋_GB2312" w:eastAsia="仿宋_GB2312" w:cs="DengXian-Regular" w:hint="eastAsia"/>
          <w:sz w:val="32"/>
          <w:szCs w:val="32"/>
        </w:rPr>
        <w:t>主要是本单位未发生公车运行维护费。</w:t>
      </w:r>
    </w:p>
    <w:p w:rsidR="0037387F" w:rsidRDefault="00086B43" w:rsidP="0037387F">
      <w:pPr>
        <w:adjustRightInd w:val="0"/>
        <w:snapToGrid w:val="0"/>
        <w:spacing w:after="0" w:line="580" w:lineRule="exact"/>
        <w:ind w:firstLineChars="200" w:firstLine="641"/>
        <w:rPr>
          <w:rFonts w:ascii="仿宋_GB2312" w:eastAsia="仿宋_GB2312" w:cs="DengXian-Regular"/>
          <w:sz w:val="32"/>
          <w:szCs w:val="32"/>
          <w:highlight w:val="yellow"/>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sidR="0037387F" w:rsidRPr="0037387F">
        <w:rPr>
          <w:sz w:val="44"/>
        </w:rPr>
        <w:pict>
          <v:group id="_x0000_s1040" style="position:absolute;left:0;text-align:left;margin-left:-.55pt;margin-top:29.3pt;width:301.85pt;height:43.95pt;z-index:251678720;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v:rect id="矩形 13" o:spid="_x0000_s1042" style="position:absolute;left:4551;top:52615;width:8546;height:1175;v-text-anchor:middle"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fillcolor="#d9d9d9" stroked="f" strokeweight="2pt"/>
            <v:rect id="矩形 14" o:spid="_x0000_s1041" style="position:absolute;left:4577;top:52890;width:8324;height:1123;v-text-anchor:middle"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人次。公务接待费支出于年初预算持平。</w:t>
      </w:r>
      <w:r>
        <w:rPr>
          <w:rFonts w:ascii="仿宋_GB2312" w:eastAsia="仿宋_GB2312" w:cs="DengXian-Regular" w:hint="eastAsia"/>
          <w:sz w:val="32"/>
          <w:szCs w:val="32"/>
        </w:rPr>
        <w:t>主要是本单位未发生公务接待费支出。</w:t>
      </w:r>
    </w:p>
    <w:p w:rsidR="0037387F" w:rsidRDefault="00086B43">
      <w:pPr>
        <w:pStyle w:val="2"/>
        <w:spacing w:before="0" w:after="0" w:line="500" w:lineRule="exact"/>
        <w:ind w:firstLineChars="200" w:firstLine="643"/>
        <w:rPr>
          <w:rFonts w:ascii="黑体" w:eastAsia="黑体" w:cs="Times New Roman"/>
          <w:shd w:val="pct10" w:color="auto" w:fill="FFFFFF"/>
        </w:rPr>
      </w:pPr>
      <w:r>
        <w:rPr>
          <w:rFonts w:ascii="黑体" w:eastAsia="黑体" w:hint="eastAsia"/>
          <w:szCs w:val="40"/>
        </w:rPr>
        <w:t>六、绩效预算情况说明</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年度财政专项资金部门绩效自评价工作的通知》（石财绩</w:t>
      </w:r>
      <w:r>
        <w:rPr>
          <w:rFonts w:ascii="仿宋" w:eastAsia="仿宋" w:hAnsi="仿宋" w:cs="仿宋" w:hint="eastAsia"/>
          <w:sz w:val="32"/>
          <w:szCs w:val="32"/>
        </w:rPr>
        <w:t>[</w:t>
      </w:r>
      <w:r>
        <w:rPr>
          <w:rFonts w:ascii="仿宋_GB2312" w:eastAsia="仿宋_GB2312" w:cs="DengXian-Regular" w:hint="eastAsia"/>
          <w:sz w:val="32"/>
          <w:szCs w:val="32"/>
        </w:rPr>
        <w:t>20</w:t>
      </w:r>
      <w:r>
        <w:rPr>
          <w:rFonts w:ascii="仿宋" w:eastAsia="仿宋" w:hAnsi="仿宋" w:cs="仿宋" w:hint="eastAsia"/>
          <w:sz w:val="32"/>
          <w:szCs w:val="32"/>
        </w:rPr>
        <w:t>19]</w:t>
      </w:r>
      <w:r>
        <w:rPr>
          <w:rFonts w:ascii="仿宋_GB2312" w:eastAsia="仿宋_GB2312" w:cs="DengXian-Regular" w:hint="eastAsia"/>
          <w:sz w:val="32"/>
          <w:szCs w:val="32"/>
        </w:rPr>
        <w:t>1</w:t>
      </w:r>
      <w:r>
        <w:rPr>
          <w:rFonts w:ascii="仿宋_GB2312" w:eastAsia="仿宋_GB2312" w:cs="DengXian-Regular" w:hint="eastAsia"/>
          <w:sz w:val="32"/>
          <w:szCs w:val="32"/>
        </w:rPr>
        <w:t>号），本单位认真开展了预算绩效管理改革开展情况自查，对部门全面规范绩效预算编制、严格预算执行管理、推进绩效评价工作、推进预决算信息公开等方面进行了自评，考核结果为</w:t>
      </w:r>
      <w:r>
        <w:rPr>
          <w:rFonts w:ascii="仿宋_GB2312" w:eastAsia="仿宋_GB2312" w:cs="DengXian-Regular" w:hint="eastAsia"/>
          <w:sz w:val="32"/>
          <w:szCs w:val="32"/>
        </w:rPr>
        <w:lastRenderedPageBreak/>
        <w:t>优秀。</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r>
        <w:rPr>
          <w:rFonts w:ascii="仿宋_GB2312" w:eastAsia="仿宋_GB2312" w:cs="DengXian-Regular" w:hint="eastAsia"/>
          <w:sz w:val="32"/>
          <w:szCs w:val="32"/>
        </w:rPr>
        <w:t xml:space="preserve"> </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本单位无一般公共预算支出项目。</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本单位无民生项目和重点支出项目。</w:t>
      </w:r>
    </w:p>
    <w:p w:rsidR="0037387F" w:rsidRDefault="00086B43">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37387F" w:rsidRDefault="00086B43" w:rsidP="0037387F">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（一）机关运行经费情况</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0</w:t>
      </w:r>
      <w:r>
        <w:rPr>
          <w:rFonts w:ascii="仿宋_GB2312" w:eastAsia="仿宋_GB2312" w:cs="DengXian-Regular" w:hint="eastAsia"/>
          <w:sz w:val="32"/>
          <w:szCs w:val="32"/>
        </w:rPr>
        <w:t>万元，较年初预算</w:t>
      </w:r>
      <w:r>
        <w:rPr>
          <w:rFonts w:ascii="仿宋_GB2312" w:eastAsia="仿宋_GB2312" w:cs="DengXian-Regular" w:hint="eastAsia"/>
          <w:sz w:val="32"/>
          <w:szCs w:val="32"/>
        </w:rPr>
        <w:t>数无增减变化。</w:t>
      </w:r>
      <w:r>
        <w:rPr>
          <w:rFonts w:ascii="仿宋_GB2312" w:eastAsia="仿宋_GB2312" w:cs="DengXian-Regular" w:hint="eastAsia"/>
          <w:sz w:val="32"/>
          <w:szCs w:val="32"/>
        </w:rPr>
        <w:t>主要原因是本单位无机关运行经费</w:t>
      </w:r>
    </w:p>
    <w:p w:rsidR="0037387F" w:rsidRDefault="00086B43" w:rsidP="0037387F">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（二）政府采购情况</w:t>
      </w:r>
    </w:p>
    <w:p w:rsidR="0037387F" w:rsidRDefault="00086B43">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r>
        <w:rPr>
          <w:rFonts w:ascii="仿宋_GB2312" w:eastAsia="仿宋_GB2312" w:hAnsi="仿宋_GB2312" w:cs="仿宋_GB2312"/>
          <w:color w:val="000000"/>
          <w:kern w:val="0"/>
          <w:sz w:val="32"/>
          <w:szCs w:val="32"/>
        </w:rPr>
        <w:t>。</w:t>
      </w:r>
    </w:p>
    <w:p w:rsidR="0037387F" w:rsidRDefault="00086B43" w:rsidP="0037387F">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lastRenderedPageBreak/>
        <w:t>（三）国有资产占用情况</w:t>
      </w:r>
    </w:p>
    <w:p w:rsidR="0037387F" w:rsidRDefault="00086B43">
      <w:pPr>
        <w:pStyle w:val="3"/>
        <w:spacing w:before="0" w:after="0" w:line="580" w:lineRule="exact"/>
        <w:ind w:firstLineChars="200" w:firstLine="640"/>
        <w:rPr>
          <w:rFonts w:ascii="仿宋_GB2312" w:eastAsia="仿宋_GB2312" w:cs="DengXian-Regular"/>
          <w:b w:val="0"/>
          <w:bCs w:val="0"/>
        </w:rPr>
      </w:pPr>
      <w:r>
        <w:rPr>
          <w:rFonts w:ascii="仿宋_GB2312" w:eastAsia="仿宋_GB2312" w:cs="DengXian-Regular" w:hint="eastAsia"/>
          <w:b w:val="0"/>
          <w:bCs w:val="0"/>
        </w:rPr>
        <w:t>截至</w:t>
      </w:r>
      <w:r>
        <w:rPr>
          <w:rFonts w:ascii="仿宋_GB2312" w:eastAsia="仿宋_GB2312" w:cs="DengXian-Regular" w:hint="eastAsia"/>
          <w:b w:val="0"/>
          <w:bCs w:val="0"/>
        </w:rPr>
        <w:t>2018</w:t>
      </w:r>
      <w:r>
        <w:rPr>
          <w:rFonts w:ascii="仿宋_GB2312" w:eastAsia="仿宋_GB2312" w:cs="DengXian-Regular" w:hint="eastAsia"/>
          <w:b w:val="0"/>
          <w:bCs w:val="0"/>
        </w:rPr>
        <w:t>年</w:t>
      </w:r>
      <w:r>
        <w:rPr>
          <w:rFonts w:ascii="仿宋_GB2312" w:eastAsia="仿宋_GB2312" w:cs="DengXian-Regular" w:hint="eastAsia"/>
          <w:b w:val="0"/>
          <w:bCs w:val="0"/>
        </w:rPr>
        <w:t>12</w:t>
      </w:r>
      <w:r>
        <w:rPr>
          <w:rFonts w:ascii="仿宋_GB2312" w:eastAsia="仿宋_GB2312" w:cs="DengXian-Regular" w:hint="eastAsia"/>
          <w:b w:val="0"/>
          <w:bCs w:val="0"/>
        </w:rPr>
        <w:t>月</w:t>
      </w:r>
      <w:r>
        <w:rPr>
          <w:rFonts w:ascii="仿宋_GB2312" w:eastAsia="仿宋_GB2312" w:cs="DengXian-Regular" w:hint="eastAsia"/>
          <w:b w:val="0"/>
          <w:bCs w:val="0"/>
        </w:rPr>
        <w:t>31</w:t>
      </w:r>
      <w:r>
        <w:rPr>
          <w:rFonts w:ascii="仿宋_GB2312" w:eastAsia="仿宋_GB2312" w:cs="DengXian-Regular" w:hint="eastAsia"/>
          <w:b w:val="0"/>
          <w:bCs w:val="0"/>
        </w:rPr>
        <w:t>日，本部门共有车辆</w:t>
      </w:r>
      <w:r>
        <w:rPr>
          <w:rFonts w:ascii="仿宋_GB2312" w:eastAsia="仿宋_GB2312" w:cs="DengXian-Regular" w:hint="eastAsia"/>
          <w:b w:val="0"/>
          <w:bCs w:val="0"/>
        </w:rPr>
        <w:t>0</w:t>
      </w:r>
      <w:r>
        <w:rPr>
          <w:rFonts w:ascii="仿宋_GB2312" w:eastAsia="仿宋_GB2312" w:cs="DengXian-Regular" w:hint="eastAsia"/>
          <w:b w:val="0"/>
          <w:bCs w:val="0"/>
        </w:rPr>
        <w:t>辆，较上年无增减变化。其中，副部（省）级及以上领导用车</w:t>
      </w:r>
      <w:r>
        <w:rPr>
          <w:rFonts w:ascii="仿宋_GB2312" w:eastAsia="仿宋_GB2312" w:cs="DengXian-Regular" w:hint="eastAsia"/>
          <w:b w:val="0"/>
          <w:bCs w:val="0"/>
        </w:rPr>
        <w:t>0</w:t>
      </w:r>
      <w:r>
        <w:rPr>
          <w:rFonts w:ascii="仿宋_GB2312" w:eastAsia="仿宋_GB2312" w:cs="DengXian-Regular" w:hint="eastAsia"/>
          <w:b w:val="0"/>
          <w:bCs w:val="0"/>
        </w:rPr>
        <w:t>辆，主要领导干部用车</w:t>
      </w:r>
      <w:r>
        <w:rPr>
          <w:rFonts w:ascii="仿宋_GB2312" w:eastAsia="仿宋_GB2312" w:cs="DengXian-Regular" w:hint="eastAsia"/>
          <w:b w:val="0"/>
          <w:bCs w:val="0"/>
        </w:rPr>
        <w:t>0</w:t>
      </w:r>
      <w:r>
        <w:rPr>
          <w:rFonts w:ascii="仿宋_GB2312" w:eastAsia="仿宋_GB2312" w:cs="DengXian-Regular" w:hint="eastAsia"/>
          <w:b w:val="0"/>
          <w:bCs w:val="0"/>
        </w:rPr>
        <w:t>辆，机要通信用车</w:t>
      </w:r>
      <w:r>
        <w:rPr>
          <w:rFonts w:ascii="仿宋_GB2312" w:eastAsia="仿宋_GB2312" w:cs="DengXian-Regular" w:hint="eastAsia"/>
          <w:b w:val="0"/>
          <w:bCs w:val="0"/>
        </w:rPr>
        <w:t>0</w:t>
      </w:r>
      <w:r>
        <w:rPr>
          <w:rFonts w:ascii="仿宋_GB2312" w:eastAsia="仿宋_GB2312" w:cs="DengXian-Regular" w:hint="eastAsia"/>
          <w:b w:val="0"/>
          <w:bCs w:val="0"/>
        </w:rPr>
        <w:t>辆，应急保障用车</w:t>
      </w:r>
      <w:r>
        <w:rPr>
          <w:rFonts w:ascii="仿宋_GB2312" w:eastAsia="仿宋_GB2312" w:cs="DengXian-Regular" w:hint="eastAsia"/>
          <w:b w:val="0"/>
          <w:bCs w:val="0"/>
        </w:rPr>
        <w:t>0</w:t>
      </w:r>
      <w:r>
        <w:rPr>
          <w:rFonts w:ascii="仿宋_GB2312" w:eastAsia="仿宋_GB2312" w:cs="DengXian-Regular" w:hint="eastAsia"/>
          <w:b w:val="0"/>
          <w:bCs w:val="0"/>
        </w:rPr>
        <w:t>辆，执法执勤用车</w:t>
      </w:r>
      <w:r>
        <w:rPr>
          <w:rFonts w:ascii="仿宋_GB2312" w:eastAsia="仿宋_GB2312" w:cs="DengXian-Regular" w:hint="eastAsia"/>
          <w:b w:val="0"/>
          <w:bCs w:val="0"/>
        </w:rPr>
        <w:t>0</w:t>
      </w:r>
      <w:r>
        <w:rPr>
          <w:rFonts w:ascii="仿宋_GB2312" w:eastAsia="仿宋_GB2312" w:cs="DengXian-Regular" w:hint="eastAsia"/>
          <w:b w:val="0"/>
          <w:bCs w:val="0"/>
        </w:rPr>
        <w:t>辆，特种专业技术用车</w:t>
      </w:r>
      <w:r>
        <w:rPr>
          <w:rFonts w:ascii="仿宋_GB2312" w:eastAsia="仿宋_GB2312" w:cs="DengXian-Regular" w:hint="eastAsia"/>
          <w:b w:val="0"/>
          <w:bCs w:val="0"/>
        </w:rPr>
        <w:t>0</w:t>
      </w:r>
      <w:r>
        <w:rPr>
          <w:rFonts w:ascii="仿宋_GB2312" w:eastAsia="仿宋_GB2312" w:cs="DengXian-Regular" w:hint="eastAsia"/>
          <w:b w:val="0"/>
          <w:bCs w:val="0"/>
        </w:rPr>
        <w:t>辆，离退休干部用车</w:t>
      </w:r>
      <w:r>
        <w:rPr>
          <w:rFonts w:ascii="仿宋_GB2312" w:eastAsia="仿宋_GB2312" w:cs="DengXian-Regular" w:hint="eastAsia"/>
          <w:b w:val="0"/>
          <w:bCs w:val="0"/>
        </w:rPr>
        <w:t>0</w:t>
      </w:r>
      <w:r>
        <w:rPr>
          <w:rFonts w:ascii="仿宋_GB2312" w:eastAsia="仿宋_GB2312" w:cs="DengXian-Regular" w:hint="eastAsia"/>
          <w:b w:val="0"/>
          <w:bCs w:val="0"/>
        </w:rPr>
        <w:t>辆，其他用车</w:t>
      </w:r>
      <w:r>
        <w:rPr>
          <w:rFonts w:ascii="仿宋_GB2312" w:eastAsia="仿宋_GB2312" w:cs="DengXian-Regular" w:hint="eastAsia"/>
          <w:b w:val="0"/>
          <w:bCs w:val="0"/>
        </w:rPr>
        <w:t>0</w:t>
      </w:r>
      <w:r>
        <w:rPr>
          <w:rFonts w:ascii="仿宋_GB2312" w:eastAsia="仿宋_GB2312" w:cs="DengXian-Regular" w:hint="eastAsia"/>
          <w:b w:val="0"/>
          <w:bCs w:val="0"/>
        </w:rPr>
        <w:t>辆，无其他用车；单位价值</w:t>
      </w:r>
      <w:r>
        <w:rPr>
          <w:rFonts w:ascii="仿宋_GB2312" w:eastAsia="仿宋_GB2312" w:hAnsi="TimesNewRomanPSMT" w:cs="TimesNewRomanPSMT" w:hint="eastAsia"/>
          <w:b w:val="0"/>
          <w:bCs w:val="0"/>
        </w:rPr>
        <w:t>50</w:t>
      </w:r>
      <w:r>
        <w:rPr>
          <w:rFonts w:ascii="仿宋_GB2312" w:eastAsia="仿宋_GB2312" w:cs="DengXian-Regular" w:hint="eastAsia"/>
          <w:b w:val="0"/>
          <w:bCs w:val="0"/>
        </w:rPr>
        <w:t>万元以上通用设备</w:t>
      </w:r>
      <w:r>
        <w:rPr>
          <w:rFonts w:ascii="仿宋_GB2312" w:eastAsia="仿宋_GB2312" w:cs="DengXian-Regular" w:hint="eastAsia"/>
          <w:b w:val="0"/>
          <w:bCs w:val="0"/>
        </w:rPr>
        <w:t>0</w:t>
      </w:r>
      <w:r>
        <w:rPr>
          <w:rFonts w:ascii="仿宋_GB2312" w:eastAsia="仿宋_GB2312" w:cs="DengXian-Regular" w:hint="eastAsia"/>
          <w:b w:val="0"/>
          <w:bCs w:val="0"/>
        </w:rPr>
        <w:t>台（套），较上年无增减变化，单位价值</w:t>
      </w:r>
      <w:r>
        <w:rPr>
          <w:rFonts w:ascii="仿宋_GB2312" w:eastAsia="仿宋_GB2312" w:hAnsi="TimesNewRomanPSMT" w:cs="TimesNewRomanPSMT" w:hint="eastAsia"/>
          <w:b w:val="0"/>
          <w:bCs w:val="0"/>
        </w:rPr>
        <w:t>100</w:t>
      </w:r>
      <w:r>
        <w:rPr>
          <w:rFonts w:ascii="仿宋_GB2312" w:eastAsia="仿宋_GB2312" w:cs="DengXian-Regular" w:hint="eastAsia"/>
          <w:b w:val="0"/>
          <w:bCs w:val="0"/>
        </w:rPr>
        <w:t>万元以上专用设备</w:t>
      </w:r>
      <w:r>
        <w:rPr>
          <w:rFonts w:ascii="仿宋_GB2312" w:eastAsia="仿宋_GB2312" w:cs="DengXian-Regular" w:hint="eastAsia"/>
          <w:b w:val="0"/>
          <w:bCs w:val="0"/>
        </w:rPr>
        <w:t>0</w:t>
      </w:r>
      <w:r>
        <w:rPr>
          <w:rFonts w:ascii="仿宋_GB2312" w:eastAsia="仿宋_GB2312" w:cs="DengXian-Regular" w:hint="eastAsia"/>
          <w:b w:val="0"/>
          <w:bCs w:val="0"/>
        </w:rPr>
        <w:t>台（套）比上年无增减变化。</w:t>
      </w:r>
    </w:p>
    <w:p w:rsidR="0037387F" w:rsidRDefault="00086B43" w:rsidP="0037387F">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（四）其他需要说明的情况</w:t>
      </w:r>
    </w:p>
    <w:p w:rsidR="0037387F" w:rsidRDefault="00086B43">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年度无一般公共预算财政拨款“三公”经费支出、</w:t>
      </w:r>
      <w:r>
        <w:rPr>
          <w:rFonts w:ascii="仿宋_GB2312" w:eastAsia="仿宋_GB2312" w:cs="DengXian-Regular" w:hint="eastAsia"/>
          <w:sz w:val="32"/>
          <w:szCs w:val="32"/>
        </w:rPr>
        <w:t>无</w:t>
      </w:r>
      <w:r>
        <w:rPr>
          <w:rFonts w:ascii="仿宋_GB2312" w:eastAsia="仿宋_GB2312" w:cs="DengXian-Regular" w:hint="eastAsia"/>
          <w:sz w:val="32"/>
          <w:szCs w:val="32"/>
        </w:rPr>
        <w:t>政府性基金预算财政拨款收入支出、</w:t>
      </w:r>
      <w:r>
        <w:rPr>
          <w:rFonts w:ascii="仿宋_GB2312" w:eastAsia="仿宋_GB2312" w:cs="DengXian-Regular" w:hint="eastAsia"/>
          <w:sz w:val="32"/>
          <w:szCs w:val="32"/>
        </w:rPr>
        <w:t>无</w:t>
      </w:r>
      <w:r>
        <w:rPr>
          <w:rFonts w:ascii="仿宋_GB2312" w:eastAsia="仿宋_GB2312" w:cs="DengXian-Regular" w:hint="eastAsia"/>
          <w:sz w:val="32"/>
          <w:szCs w:val="32"/>
        </w:rPr>
        <w:t>国有资本经营预算财政拨款支出、</w:t>
      </w:r>
      <w:r>
        <w:rPr>
          <w:rFonts w:ascii="仿宋_GB2312" w:eastAsia="仿宋_GB2312" w:cs="DengXian-Regular" w:hint="eastAsia"/>
          <w:sz w:val="32"/>
          <w:szCs w:val="32"/>
        </w:rPr>
        <w:t>无</w:t>
      </w:r>
      <w:r>
        <w:rPr>
          <w:rFonts w:ascii="仿宋_GB2312" w:eastAsia="仿宋_GB2312" w:cs="DengXian-Regular" w:hint="eastAsia"/>
          <w:sz w:val="32"/>
          <w:szCs w:val="32"/>
        </w:rPr>
        <w:t>政府采购情况，故</w:t>
      </w:r>
      <w:r>
        <w:rPr>
          <w:rFonts w:ascii="仿宋_GB2312" w:eastAsia="仿宋_GB2312" w:cs="DengXian-Regular" w:hint="eastAsia"/>
          <w:sz w:val="32"/>
          <w:szCs w:val="32"/>
        </w:rPr>
        <w:t>07</w:t>
      </w:r>
      <w:r>
        <w:rPr>
          <w:rFonts w:ascii="仿宋_GB2312" w:eastAsia="仿宋_GB2312" w:cs="DengXian-Regular" w:hint="eastAsia"/>
          <w:sz w:val="32"/>
          <w:szCs w:val="32"/>
        </w:rPr>
        <w:t>、</w:t>
      </w:r>
      <w:r>
        <w:rPr>
          <w:rFonts w:ascii="仿宋_GB2312" w:eastAsia="仿宋_GB2312" w:cs="DengXian-Regular" w:hint="eastAsia"/>
          <w:sz w:val="32"/>
          <w:szCs w:val="32"/>
        </w:rPr>
        <w:t>08</w:t>
      </w:r>
      <w:r>
        <w:rPr>
          <w:rFonts w:ascii="仿宋_GB2312" w:eastAsia="仿宋_GB2312" w:cs="DengXian-Regular" w:hint="eastAsia"/>
          <w:sz w:val="32"/>
          <w:szCs w:val="32"/>
        </w:rPr>
        <w:t>、</w:t>
      </w:r>
      <w:r>
        <w:rPr>
          <w:rFonts w:ascii="仿宋" w:eastAsia="仿宋" w:hAnsi="仿宋" w:cs="仿宋" w:hint="eastAsia"/>
          <w:sz w:val="32"/>
          <w:szCs w:val="32"/>
        </w:rPr>
        <w:t>09</w:t>
      </w:r>
      <w:r>
        <w:rPr>
          <w:rFonts w:ascii="仿宋_GB2312" w:eastAsia="仿宋_GB2312" w:cs="DengXian-Regular" w:hint="eastAsia"/>
          <w:sz w:val="32"/>
          <w:szCs w:val="32"/>
        </w:rPr>
        <w:t>、</w:t>
      </w:r>
      <w:r>
        <w:rPr>
          <w:rFonts w:ascii="仿宋_GB2312" w:eastAsia="仿宋_GB2312" w:cs="DengXian-Regular" w:hint="eastAsia"/>
          <w:sz w:val="32"/>
          <w:szCs w:val="32"/>
        </w:rPr>
        <w:t>10</w:t>
      </w:r>
      <w:r>
        <w:rPr>
          <w:rFonts w:ascii="仿宋_GB2312" w:eastAsia="仿宋_GB2312" w:cs="DengXian-Regular" w:hint="eastAsia"/>
          <w:sz w:val="32"/>
          <w:szCs w:val="32"/>
        </w:rPr>
        <w:t>表以空表列示。</w:t>
      </w:r>
    </w:p>
    <w:p w:rsidR="0037387F" w:rsidRDefault="00086B4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w:t>
      </w:r>
      <w:r w:rsidR="0037387F">
        <w:rPr>
          <w:rFonts w:ascii="仿宋_GB2312" w:eastAsia="仿宋_GB2312" w:cs="DengXian-Regular"/>
          <w:sz w:val="32"/>
          <w:szCs w:val="32"/>
        </w:rPr>
        <w:pict>
          <v:group id="_x0000_s1037" style="position:absolute;left:0;text-align:left;margin-left:-.55pt;margin-top:29.3pt;width:301.85pt;height:43.95pt;z-index:251679744;mso-position-horizontal-relative:page;mso-position-vertical-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v:rect id="矩形 13" o:spid="_x0000_s1039" style="position:absolute;left:4551;top:52615;width:8546;height:1175;v-text-anchor:middle"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fillcolor="#d9d9d9" stroked="f" strokeweight="2pt"/>
            <v:rect id="_x0000_s1038" style="position:absolute;left:4577;top:52890;width:8324;height:1123;v-text-anchor:middle"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37387F" w:rsidRDefault="0037387F">
                    <w:pPr>
                      <w:jc w:val="center"/>
                    </w:pPr>
                  </w:p>
                </w:txbxContent>
              </v:textbox>
            </v:rect>
            <w10:wrap anchorx="page" anchory="page"/>
            <w10:anchorlock/>
          </v:group>
        </w:pict>
      </w:r>
      <w:r>
        <w:rPr>
          <w:rFonts w:ascii="仿宋_GB2312" w:eastAsia="仿宋_GB2312" w:cs="DengXian-Regular" w:hint="eastAsia"/>
          <w:sz w:val="32"/>
          <w:szCs w:val="32"/>
        </w:rPr>
        <w:t>果，个别数据合计项与分项之和存在小数点后差额，特此说明。</w:t>
      </w:r>
    </w:p>
    <w:p w:rsidR="0037387F" w:rsidRDefault="0037387F">
      <w:pPr>
        <w:widowControl/>
        <w:spacing w:after="0" w:line="580" w:lineRule="exact"/>
        <w:ind w:firstLineChars="200" w:firstLine="640"/>
        <w:jc w:val="left"/>
        <w:rPr>
          <w:rFonts w:ascii="仿宋_GB2312" w:eastAsia="仿宋_GB2312" w:cs="DengXian-Regular"/>
          <w:sz w:val="32"/>
          <w:szCs w:val="32"/>
        </w:rPr>
        <w:sectPr w:rsidR="0037387F">
          <w:pgSz w:w="11906" w:h="16838"/>
          <w:pgMar w:top="2098" w:right="1474" w:bottom="1984" w:left="1588" w:header="851" w:footer="992" w:gutter="0"/>
          <w:cols w:space="0"/>
          <w:docGrid w:type="lines" w:linePitch="312"/>
        </w:sectPr>
      </w:pPr>
    </w:p>
    <w:p w:rsidR="0037387F" w:rsidRDefault="00086B43">
      <w:pPr>
        <w:rPr>
          <w:rFonts w:ascii="宋体" w:hAnsi="宋体" w:cs="ArialUnicodeMS"/>
          <w:color w:val="000000"/>
          <w:kern w:val="0"/>
        </w:rPr>
        <w:sectPr w:rsidR="0037387F">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9" cstate="print"/>
                    <a:stretch>
                      <a:fillRect/>
                    </a:stretch>
                  </pic:blipFill>
                  <pic:spPr>
                    <a:xfrm>
                      <a:off x="0" y="0"/>
                      <a:ext cx="7550150" cy="10680065"/>
                    </a:xfrm>
                    <a:prstGeom prst="rect">
                      <a:avLst/>
                    </a:prstGeom>
                  </pic:spPr>
                </pic:pic>
              </a:graphicData>
            </a:graphic>
          </wp:anchor>
        </w:drawing>
      </w:r>
      <w:r w:rsidR="0037387F" w:rsidRPr="0037387F">
        <w:rPr>
          <w:sz w:val="72"/>
        </w:rPr>
        <w:pict>
          <v:shape id="_x0000_s1036" type="#_x0000_t202" style="position:absolute;left:0;text-align:left;margin-left:-78.7pt;margin-top:232.8pt;width:596.2pt;height:159.1pt;z-index:251669504;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filled="f" stroked="f" strokeweight=".5pt">
            <v:textbox>
              <w:txbxContent>
                <w:p w:rsidR="0037387F" w:rsidRDefault="00086B4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37387F" w:rsidRDefault="00086B43">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w:t>
      </w:r>
      <w:r>
        <w:rPr>
          <w:rFonts w:ascii="仿宋_GB2312" w:eastAsia="仿宋_GB2312" w:hAnsiTheme="majorEastAsia" w:hint="eastAsia"/>
          <w:color w:val="000000"/>
          <w:kern w:val="0"/>
          <w:sz w:val="32"/>
          <w:szCs w:val="32"/>
        </w:rPr>
        <w:t>或项目已完成等产生的结余资金。</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w:t>
      </w:r>
      <w:r w:rsidR="0037387F" w:rsidRPr="0037387F">
        <w:rPr>
          <w:rFonts w:ascii="仿宋_GB2312" w:eastAsia="仿宋_GB2312" w:hAnsiTheme="majorEastAsia"/>
          <w:b/>
          <w:bCs/>
          <w:color w:val="000000"/>
          <w:kern w:val="0"/>
          <w:sz w:val="32"/>
          <w:szCs w:val="32"/>
        </w:rPr>
        <w:pict>
          <v:group id="_x0000_s1033" style="position:absolute;left:0;text-align:left;margin-left:-81.05pt;margin-top:39.65pt;width:264.85pt;height:43.95pt;z-index:251671552;mso-position-horizontal-relative:text;mso-position-vertical-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v:rect id="矩形 13" o:spid="_x0000_s1035" style="position:absolute;left:4551;top:52615;width:8546;height:1175;v-text-anchor:middle"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fillcolor="#d9d9d9" stroked="f" strokeweight="2pt"/>
            <v:rect id="矩形 14" o:spid="_x0000_s1034" style="position:absolute;left:4577;top:52890;width:8324;height:1123;v-text-anchor:middle"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年度部门决算☞名词解释</w:t>
                    </w:r>
                  </w:p>
                  <w:p w:rsidR="0037387F" w:rsidRDefault="0037387F">
                    <w:pPr>
                      <w:jc w:val="center"/>
                    </w:pPr>
                  </w:p>
                </w:txbxContent>
              </v:textbox>
            </v:rect>
            <w10:wrap anchory="page"/>
            <w10:anchorlock/>
          </v:group>
        </w:pict>
      </w:r>
      <w:r>
        <w:rPr>
          <w:rFonts w:ascii="仿宋_GB2312" w:eastAsia="仿宋_GB2312" w:hAnsiTheme="majorEastAsia" w:hint="eastAsia"/>
          <w:b/>
          <w:bCs/>
          <w:color w:val="000000"/>
          <w:kern w:val="0"/>
          <w:sz w:val="32"/>
          <w:szCs w:val="32"/>
        </w:rPr>
        <w:t>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w:t>
      </w:r>
      <w:r>
        <w:rPr>
          <w:rFonts w:ascii="仿宋_GB2312" w:eastAsia="仿宋_GB2312" w:hAnsiTheme="majorEastAsia" w:hint="eastAsia"/>
          <w:color w:val="000000"/>
          <w:kern w:val="0"/>
          <w:sz w:val="32"/>
          <w:szCs w:val="32"/>
        </w:rPr>
        <w:t>务接</w:t>
      </w:r>
      <w:r w:rsidR="0037387F" w:rsidRPr="0037387F">
        <w:rPr>
          <w:rFonts w:ascii="仿宋_GB2312" w:eastAsia="仿宋_GB2312" w:hAnsiTheme="majorEastAsia"/>
          <w:b/>
          <w:bCs/>
          <w:color w:val="000000"/>
          <w:kern w:val="0"/>
          <w:sz w:val="32"/>
          <w:szCs w:val="32"/>
        </w:rPr>
        <w:pict>
          <v:group id="_x0000_s1030" style="position:absolute;left:0;text-align:left;margin-left:-81.05pt;margin-top:39.65pt;width:264.85pt;height:43.95pt;z-index:251680768;mso-position-horizontal-relative:text;mso-position-vertical-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v:rect id="矩形 13" o:spid="_x0000_s1032" style="position:absolute;left:4551;top:52615;width:8546;height:1175;v-text-anchor:middle"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fillcolor="#d9d9d9" stroked="f" strokeweight="2pt"/>
            <v:rect id="矩形 14" o:spid="_x0000_s1031" style="position:absolute;left:4577;top:52890;width:8324;height:1123;v-text-anchor:middle"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年度部门决算☞名词解释</w:t>
                    </w:r>
                  </w:p>
                  <w:p w:rsidR="0037387F" w:rsidRDefault="0037387F">
                    <w:pPr>
                      <w:jc w:val="center"/>
                    </w:pPr>
                  </w:p>
                </w:txbxContent>
              </v:textbox>
            </v:rect>
            <w10:wrap anchory="page"/>
            <w10:anchorlock/>
          </v:group>
        </w:pict>
      </w:r>
      <w:r>
        <w:rPr>
          <w:rFonts w:ascii="仿宋_GB2312" w:eastAsia="仿宋_GB2312" w:hAnsiTheme="majorEastAsia" w:hint="eastAsia"/>
          <w:color w:val="000000"/>
          <w:kern w:val="0"/>
          <w:sz w:val="32"/>
          <w:szCs w:val="32"/>
        </w:rPr>
        <w:t>待费反映单位按规定开支的各类公务接待（含外宾接待）支出。</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w:t>
      </w:r>
      <w:r w:rsidR="0037387F" w:rsidRPr="0037387F">
        <w:rPr>
          <w:rFonts w:ascii="仿宋_GB2312" w:eastAsia="仿宋_GB2312" w:hAnsiTheme="majorEastAsia"/>
          <w:b/>
          <w:bCs/>
          <w:color w:val="000000"/>
          <w:kern w:val="0"/>
          <w:sz w:val="32"/>
          <w:szCs w:val="32"/>
        </w:rPr>
        <w:pict>
          <v:group id="_x0000_s1027" style="position:absolute;left:0;text-align:left;margin-left:-81.05pt;margin-top:39.65pt;width:264.85pt;height:43.95pt;z-index:251681792;mso-position-horizontal-relative:text;mso-position-vertical-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v:rect id="矩形 13" o:spid="_x0000_s1029" style="position:absolute;left:4551;top:52615;width:8546;height:1175;v-text-anchor:middle"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fillcolor="#d9d9d9" stroked="f" strokeweight="2pt"/>
            <v:rect id="矩形 14" o:spid="_x0000_s1028" style="position:absolute;left:4577;top:52890;width:8324;height:1123;v-text-anchor:middle"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37387F" w:rsidRDefault="00086B43">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年度部门决算☞名词解释</w:t>
                    </w:r>
                  </w:p>
                  <w:p w:rsidR="0037387F" w:rsidRDefault="0037387F">
                    <w:pPr>
                      <w:jc w:val="center"/>
                    </w:pPr>
                  </w:p>
                </w:txbxContent>
              </v:textbox>
            </v:rect>
            <w10:wrap anchory="page"/>
            <w10:anchorlock/>
          </v:group>
        </w:pict>
      </w:r>
      <w:r>
        <w:rPr>
          <w:rFonts w:ascii="仿宋_GB2312" w:eastAsia="仿宋_GB2312" w:hAnsiTheme="majorEastAsia" w:hint="eastAsia"/>
          <w:b/>
          <w:bCs/>
          <w:color w:val="000000"/>
          <w:kern w:val="0"/>
          <w:sz w:val="32"/>
          <w:szCs w:val="32"/>
        </w:rPr>
        <w:t>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填列单位除公务用车运行维护费以外的其他交通费用。如公务交通补贴、租车费用、出租车费用、飞机、船舶等的燃料费、维修费、保险费等。</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37387F" w:rsidRDefault="00086B43" w:rsidP="0037387F">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37387F" w:rsidRDefault="00086B43" w:rsidP="0037387F">
      <w:pPr>
        <w:widowControl/>
        <w:spacing w:after="0" w:line="560" w:lineRule="exact"/>
        <w:ind w:firstLineChars="200" w:firstLine="641"/>
        <w:rPr>
          <w:rFonts w:ascii="仿宋_GB2312" w:eastAsia="仿宋_GB2312" w:hAnsiTheme="minorHAnsi" w:cs="ArialUnicodeMS"/>
          <w:kern w:val="0"/>
          <w:sz w:val="32"/>
          <w:szCs w:val="32"/>
        </w:rPr>
        <w:sectPr w:rsidR="0037387F">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37387F" w:rsidRDefault="00086B43">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rsidR="0037387F" w:rsidSect="0037387F">
      <w:pgSz w:w="11906" w:h="16838"/>
      <w:pgMar w:top="2098" w:right="1474" w:bottom="1985" w:left="1588"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A0375E82-6626-4B39-A54F-281EEC75D104}"/>
    <w:embedBold r:id="rId2" w:subsetted="1" w:fontKey="{C3EC00B3-41D1-483F-9760-E17C3B98C94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embedBold r:id="rId3" w:subsetted="1" w:fontKey="{2E7371EC-3364-4A38-8F7B-D58FD8E2C013}"/>
  </w:font>
  <w:font w:name="楷体_GB2312">
    <w:charset w:val="86"/>
    <w:family w:val="modern"/>
    <w:pitch w:val="default"/>
    <w:sig w:usb0="00000000" w:usb1="00000000" w:usb2="00000000" w:usb3="00000000" w:csb0="00000000" w:csb1="00000000"/>
    <w:embedBold r:id="rId4" w:subsetted="1" w:fontKey="{A4D74170-20AF-4D8C-9DB6-E5C1DFA15C72}"/>
  </w:font>
  <w:font w:name="仿宋_GB2312">
    <w:charset w:val="86"/>
    <w:family w:val="modern"/>
    <w:pitch w:val="default"/>
    <w:sig w:usb0="00000000" w:usb1="00000000" w:usb2="00000000" w:usb3="00000000" w:csb0="00000000" w:csb1="00000000"/>
    <w:embedRegular r:id="rId5" w:subsetted="1" w:fontKey="{7EFFD258-229D-4533-9E0C-AE9578126364}"/>
    <w:embedBold r:id="rId6" w:subsetted="1" w:fontKey="{7ABF3EB0-15CD-478A-8571-634C089E9917}"/>
  </w:font>
  <w:font w:name="ArialUnicodeMS">
    <w:altName w:val="Malgun Gothic"/>
    <w:charset w:val="81"/>
    <w:family w:val="auto"/>
    <w:pitch w:val="default"/>
    <w:sig w:usb0="00000000" w:usb1="00000000" w:usb2="00000010" w:usb3="00000000" w:csb0="00080001" w:csb1="00000000"/>
  </w:font>
  <w:font w:name="MS-UIGothic,Bold">
    <w:altName w:val="Malgun Gothic"/>
    <w:charset w:val="81"/>
    <w:family w:val="auto"/>
    <w:pitch w:val="default"/>
    <w:sig w:usb0="00000000" w:usb1="00000000" w:usb2="00000010" w:usb3="00000000" w:csb0="00080000" w:csb1="00000000"/>
  </w:font>
  <w:font w:name="仿宋">
    <w:panose1 w:val="02010609060101010101"/>
    <w:charset w:val="86"/>
    <w:family w:val="modern"/>
    <w:pitch w:val="fixed"/>
    <w:sig w:usb0="800002BF" w:usb1="38CF7CFA" w:usb2="00000016" w:usb3="00000000" w:csb0="00040001" w:csb1="00000000"/>
    <w:embedRegular r:id="rId7" w:subsetted="1" w:fontKey="{8552EA46-B1B0-465F-AE67-2B2F37A6AD1C}"/>
  </w:font>
  <w:font w:name="DengXian-Regular">
    <w:altName w:val="宋体"/>
    <w:charset w:val="86"/>
    <w:family w:val="auto"/>
    <w:pitch w:val="default"/>
    <w:sig w:usb0="00000000" w:usb1="00000000" w:usb2="00000010" w:usb3="00000000" w:csb0="00040001" w:csb1="00000000"/>
  </w:font>
  <w:font w:name="Arial">
    <w:panose1 w:val="020B0604020202020204"/>
    <w:charset w:val="00"/>
    <w:family w:val="swiss"/>
    <w:pitch w:val="variable"/>
    <w:sig w:usb0="E0002AFF" w:usb1="C0007843" w:usb2="00000009" w:usb3="00000000" w:csb0="000001FF" w:csb1="00000000"/>
  </w:font>
  <w:font w:name="DengXian-Bold">
    <w:altName w:val="宋体"/>
    <w:charset w:val="86"/>
    <w:family w:val="auto"/>
    <w:pitch w:val="default"/>
    <w:sig w:usb0="00000000" w:usb1="00000000" w:usb2="00000010" w:usb3="00000000" w:csb0="00040001" w:csb1="00000000"/>
  </w:font>
  <w:font w:name="微软雅黑">
    <w:panose1 w:val="020B0503020204020204"/>
    <w:charset w:val="86"/>
    <w:family w:val="swiss"/>
    <w:pitch w:val="variable"/>
    <w:sig w:usb0="80000287" w:usb1="280F3C52" w:usb2="00000016" w:usb3="00000000" w:csb0="0004001F" w:csb1="00000000"/>
  </w:font>
  <w:font w:name="___WRD_EMBED_SUB_47">
    <w:charset w:val="86"/>
    <w:family w:val="modern"/>
    <w:pitch w:val="default"/>
    <w:sig w:usb0="00000000" w:usb1="00000000" w:usb2="00000000" w:usb3="00000000" w:csb0="00000000" w:csb1="00000000"/>
  </w:font>
  <w:font w:name="TimesNewRomanPSMT">
    <w:altName w:val="Arial"/>
    <w:charset w:val="00"/>
    <w:family w:val="swiss"/>
    <w:pitch w:val="default"/>
    <w:sig w:usb0="00000000"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18BD"/>
    <w:multiLevelType w:val="multilevel"/>
    <w:tmpl w:val="008C18BD"/>
    <w:lvl w:ilvl="0">
      <w:start w:val="1"/>
      <w:numFmt w:val="decimal"/>
      <w:lvlText w:val="%1、"/>
      <w:lvlJc w:val="left"/>
      <w:pPr>
        <w:tabs>
          <w:tab w:val="left" w:pos="900"/>
        </w:tabs>
        <w:ind w:left="90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45DB9A87"/>
    <w:multiLevelType w:val="singleLevel"/>
    <w:tmpl w:val="45DB9A87"/>
    <w:lvl w:ilvl="0">
      <w:start w:val="3"/>
      <w:numFmt w:val="chineseCounting"/>
      <w:suff w:val="nothing"/>
      <w:lvlText w:val="（%1）"/>
      <w:lvlJc w:val="left"/>
      <w:rPr>
        <w:rFonts w:hint="eastAsia"/>
      </w:rPr>
    </w:lvl>
  </w:abstractNum>
  <w:abstractNum w:abstractNumId="2">
    <w:nsid w:val="6C3E52D2"/>
    <w:multiLevelType w:val="singleLevel"/>
    <w:tmpl w:val="6C3E52D2"/>
    <w:lvl w:ilvl="0">
      <w:start w:val="2"/>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TrueTypeFonts/>
  <w:saveSubsetFonts/>
  <w:proofState w:spelling="clean"/>
  <w:defaultTabStop w:val="420"/>
  <w:drawingGridHorizontalSpacing w:val="105"/>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3C1413"/>
    <w:rsid w:val="00024E7F"/>
    <w:rsid w:val="000475A0"/>
    <w:rsid w:val="000838C3"/>
    <w:rsid w:val="00086B4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7387F"/>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308B4"/>
    <w:rsid w:val="00641318"/>
    <w:rsid w:val="0064405D"/>
    <w:rsid w:val="00685302"/>
    <w:rsid w:val="00695557"/>
    <w:rsid w:val="006D4EA7"/>
    <w:rsid w:val="0070012A"/>
    <w:rsid w:val="0070664B"/>
    <w:rsid w:val="007071B8"/>
    <w:rsid w:val="007414DE"/>
    <w:rsid w:val="007461FC"/>
    <w:rsid w:val="007548F3"/>
    <w:rsid w:val="00771999"/>
    <w:rsid w:val="007905A9"/>
    <w:rsid w:val="007977E3"/>
    <w:rsid w:val="007E5500"/>
    <w:rsid w:val="007F055B"/>
    <w:rsid w:val="007F7341"/>
    <w:rsid w:val="0080644C"/>
    <w:rsid w:val="00811C2F"/>
    <w:rsid w:val="00823762"/>
    <w:rsid w:val="00833D46"/>
    <w:rsid w:val="00840A97"/>
    <w:rsid w:val="008C0149"/>
    <w:rsid w:val="008D5DED"/>
    <w:rsid w:val="008E25CA"/>
    <w:rsid w:val="008F34FC"/>
    <w:rsid w:val="0091095C"/>
    <w:rsid w:val="00944CD7"/>
    <w:rsid w:val="009831B2"/>
    <w:rsid w:val="009878BB"/>
    <w:rsid w:val="009A1ABE"/>
    <w:rsid w:val="009E21A4"/>
    <w:rsid w:val="009F22C6"/>
    <w:rsid w:val="00A07E50"/>
    <w:rsid w:val="00A15397"/>
    <w:rsid w:val="00A17E95"/>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80DE5"/>
    <w:rsid w:val="00DB35AF"/>
    <w:rsid w:val="00DD72D7"/>
    <w:rsid w:val="00DF5B88"/>
    <w:rsid w:val="00DF5FAD"/>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23D2F40"/>
    <w:rsid w:val="03CF4CD6"/>
    <w:rsid w:val="04073F84"/>
    <w:rsid w:val="05B867CA"/>
    <w:rsid w:val="08D14CAF"/>
    <w:rsid w:val="0B60750A"/>
    <w:rsid w:val="0C992745"/>
    <w:rsid w:val="0E3C65C6"/>
    <w:rsid w:val="10686488"/>
    <w:rsid w:val="10DF728A"/>
    <w:rsid w:val="10E270DD"/>
    <w:rsid w:val="1264200E"/>
    <w:rsid w:val="13A47EF9"/>
    <w:rsid w:val="141C5B77"/>
    <w:rsid w:val="18107F53"/>
    <w:rsid w:val="18D8339D"/>
    <w:rsid w:val="1A21388F"/>
    <w:rsid w:val="1A570D2F"/>
    <w:rsid w:val="1AFA0C62"/>
    <w:rsid w:val="20E856A8"/>
    <w:rsid w:val="21700D66"/>
    <w:rsid w:val="23BA2182"/>
    <w:rsid w:val="250B73C3"/>
    <w:rsid w:val="26526E56"/>
    <w:rsid w:val="27DA50AE"/>
    <w:rsid w:val="28FB0B8D"/>
    <w:rsid w:val="2A9870FC"/>
    <w:rsid w:val="2CEF7278"/>
    <w:rsid w:val="2D2434D5"/>
    <w:rsid w:val="2D2B7942"/>
    <w:rsid w:val="2D46481D"/>
    <w:rsid w:val="2E733B28"/>
    <w:rsid w:val="2FF908D9"/>
    <w:rsid w:val="31852B5A"/>
    <w:rsid w:val="32D01238"/>
    <w:rsid w:val="32FF752A"/>
    <w:rsid w:val="330F1039"/>
    <w:rsid w:val="3445780E"/>
    <w:rsid w:val="3568631B"/>
    <w:rsid w:val="3DFC59A8"/>
    <w:rsid w:val="3ECF245E"/>
    <w:rsid w:val="3F516427"/>
    <w:rsid w:val="3FB96314"/>
    <w:rsid w:val="42BD61C3"/>
    <w:rsid w:val="4B892209"/>
    <w:rsid w:val="4F9E02DB"/>
    <w:rsid w:val="50B0592C"/>
    <w:rsid w:val="50FB7965"/>
    <w:rsid w:val="5264652F"/>
    <w:rsid w:val="53A44FAF"/>
    <w:rsid w:val="54574810"/>
    <w:rsid w:val="56F33834"/>
    <w:rsid w:val="594329EC"/>
    <w:rsid w:val="5AD952AE"/>
    <w:rsid w:val="5BEE1540"/>
    <w:rsid w:val="5BF64E57"/>
    <w:rsid w:val="5DE61A5D"/>
    <w:rsid w:val="5F300A52"/>
    <w:rsid w:val="60116BB8"/>
    <w:rsid w:val="61A45904"/>
    <w:rsid w:val="61E45BCB"/>
    <w:rsid w:val="63C04243"/>
    <w:rsid w:val="63EF5A0A"/>
    <w:rsid w:val="649C01C7"/>
    <w:rsid w:val="66F973A7"/>
    <w:rsid w:val="699A3F60"/>
    <w:rsid w:val="6A330373"/>
    <w:rsid w:val="72902E62"/>
    <w:rsid w:val="732304EF"/>
    <w:rsid w:val="735F6657"/>
    <w:rsid w:val="73C61104"/>
    <w:rsid w:val="73E81FEB"/>
    <w:rsid w:val="74A54EF0"/>
    <w:rsid w:val="776452EA"/>
    <w:rsid w:val="7D617F63"/>
    <w:rsid w:val="7DC663B9"/>
    <w:rsid w:val="7E5424C8"/>
    <w:rsid w:val="7FD2103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05"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87F"/>
    <w:pPr>
      <w:widowControl w:val="0"/>
      <w:spacing w:after="160" w:line="480" w:lineRule="auto"/>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37387F"/>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37387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37387F"/>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37387F"/>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rsid w:val="0037387F"/>
    <w:pPr>
      <w:ind w:leftChars="2500" w:left="100"/>
    </w:pPr>
  </w:style>
  <w:style w:type="paragraph" w:styleId="a4">
    <w:name w:val="Balloon Text"/>
    <w:basedOn w:val="a"/>
    <w:link w:val="Char0"/>
    <w:uiPriority w:val="99"/>
    <w:semiHidden/>
    <w:unhideWhenUsed/>
    <w:qFormat/>
    <w:rsid w:val="0037387F"/>
    <w:rPr>
      <w:sz w:val="18"/>
      <w:szCs w:val="18"/>
    </w:rPr>
  </w:style>
  <w:style w:type="paragraph" w:styleId="a5">
    <w:name w:val="footer"/>
    <w:basedOn w:val="a"/>
    <w:link w:val="Char1"/>
    <w:uiPriority w:val="99"/>
    <w:unhideWhenUsed/>
    <w:qFormat/>
    <w:rsid w:val="0037387F"/>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37387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37387F"/>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37387F"/>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37387F"/>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37387F"/>
    <w:rPr>
      <w:sz w:val="18"/>
      <w:szCs w:val="18"/>
    </w:rPr>
  </w:style>
  <w:style w:type="character" w:customStyle="1" w:styleId="Char1">
    <w:name w:val="页脚 Char"/>
    <w:basedOn w:val="a0"/>
    <w:link w:val="a5"/>
    <w:uiPriority w:val="99"/>
    <w:qFormat/>
    <w:rsid w:val="0037387F"/>
    <w:rPr>
      <w:sz w:val="18"/>
      <w:szCs w:val="18"/>
    </w:rPr>
  </w:style>
  <w:style w:type="paragraph" w:styleId="aa">
    <w:name w:val="No Spacing"/>
    <w:link w:val="Char5"/>
    <w:uiPriority w:val="1"/>
    <w:qFormat/>
    <w:rsid w:val="0037387F"/>
    <w:pPr>
      <w:spacing w:after="160" w:line="480" w:lineRule="auto"/>
    </w:pPr>
    <w:rPr>
      <w:sz w:val="22"/>
      <w:szCs w:val="22"/>
    </w:rPr>
  </w:style>
  <w:style w:type="character" w:customStyle="1" w:styleId="Char5">
    <w:name w:val="无间隔 Char"/>
    <w:basedOn w:val="a0"/>
    <w:link w:val="aa"/>
    <w:uiPriority w:val="1"/>
    <w:qFormat/>
    <w:rsid w:val="0037387F"/>
    <w:rPr>
      <w:kern w:val="0"/>
      <w:sz w:val="22"/>
    </w:rPr>
  </w:style>
  <w:style w:type="character" w:customStyle="1" w:styleId="Char0">
    <w:name w:val="批注框文本 Char"/>
    <w:basedOn w:val="a0"/>
    <w:link w:val="a4"/>
    <w:uiPriority w:val="99"/>
    <w:semiHidden/>
    <w:qFormat/>
    <w:rsid w:val="0037387F"/>
    <w:rPr>
      <w:rFonts w:ascii="Times New Roman" w:eastAsia="宋体" w:hAnsi="Times New Roman" w:cs="Times New Roman"/>
      <w:sz w:val="18"/>
      <w:szCs w:val="18"/>
    </w:rPr>
  </w:style>
  <w:style w:type="character" w:customStyle="1" w:styleId="Char4">
    <w:name w:val="标题 Char"/>
    <w:basedOn w:val="a0"/>
    <w:link w:val="a8"/>
    <w:uiPriority w:val="10"/>
    <w:qFormat/>
    <w:rsid w:val="0037387F"/>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37387F"/>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37387F"/>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37387F"/>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37387F"/>
    <w:rPr>
      <w:rFonts w:asciiTheme="minorHAnsi" w:eastAsiaTheme="minorEastAsia" w:hAnsiTheme="minorEastAsia" w:cstheme="minorBidi"/>
      <w:szCs w:val="22"/>
      <w:lang w:eastAsia="zh-CN"/>
    </w:rPr>
  </w:style>
  <w:style w:type="character" w:customStyle="1" w:styleId="Style4">
    <w:name w:val="Style4"/>
    <w:basedOn w:val="a0"/>
    <w:uiPriority w:val="1"/>
    <w:qFormat/>
    <w:rsid w:val="0037387F"/>
    <w:rPr>
      <w:rFonts w:asciiTheme="minorHAnsi" w:eastAsiaTheme="minorEastAsia" w:hAnsiTheme="minorEastAsia" w:cstheme="minorBidi"/>
      <w:szCs w:val="22"/>
      <w:lang w:eastAsia="zh-CN"/>
    </w:rPr>
  </w:style>
  <w:style w:type="character" w:customStyle="1" w:styleId="Style5">
    <w:name w:val="Style5"/>
    <w:basedOn w:val="a0"/>
    <w:uiPriority w:val="1"/>
    <w:qFormat/>
    <w:rsid w:val="0037387F"/>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37387F"/>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37387F"/>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37387F"/>
    <w:rPr>
      <w:rFonts w:ascii="Times New Roman" w:eastAsia="宋体" w:hAnsi="Times New Roman" w:cs="Times New Roman"/>
      <w:b/>
      <w:bCs/>
      <w:sz w:val="32"/>
      <w:szCs w:val="32"/>
    </w:rPr>
  </w:style>
  <w:style w:type="character" w:customStyle="1" w:styleId="4Char">
    <w:name w:val="标题 4 Char"/>
    <w:basedOn w:val="a0"/>
    <w:link w:val="4"/>
    <w:uiPriority w:val="9"/>
    <w:qFormat/>
    <w:rsid w:val="0037387F"/>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37387F"/>
    <w:rPr>
      <w:rFonts w:ascii="Times New Roman" w:eastAsia="宋体" w:hAnsi="Times New Roman" w:cs="Times New Roman"/>
      <w:szCs w:val="24"/>
    </w:rPr>
  </w:style>
  <w:style w:type="paragraph" w:styleId="ab">
    <w:name w:val="List Paragraph"/>
    <w:basedOn w:val="a"/>
    <w:uiPriority w:val="99"/>
    <w:unhideWhenUsed/>
    <w:qFormat/>
    <w:rsid w:val="0037387F"/>
    <w:pPr>
      <w:ind w:firstLineChars="200" w:firstLine="420"/>
    </w:pPr>
  </w:style>
</w:styles>
</file>

<file path=word/webSettings.xml><?xml version="1.0" encoding="utf-8"?>
<w:webSettings xmlns:r="http://schemas.openxmlformats.org/officeDocument/2006/relationships" xmlns:w="http://schemas.openxmlformats.org/wordprocessingml/2006/main">
  <w:divs>
    <w:div w:id="8455117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2.xm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chart" Target="charts/chart1.xml"/><Relationship Id="rId4" Type="http://schemas.openxmlformats.org/officeDocument/2006/relationships/numbering" Target="numbering.xml"/><Relationship Id="rId9" Type="http://schemas.openxmlformats.org/officeDocument/2006/relationships/image" Target="media/image2.jpeg"/><Relationship Id="rId14" Type="http://schemas.openxmlformats.org/officeDocument/2006/relationships/chart" Target="charts/chart5.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5968;&#25454;&#19978;&#20256;&#37038;&#31665;\2018&#24180;&#37096;&#38376;&#20915;&#31639;&#20844;&#24320;\&#39640;&#37009;&#21439;&#25991;&#29289;&#20445;&#25252;&#2515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5968;&#25454;&#19978;&#20256;&#37038;&#31665;\2018&#24180;&#37096;&#38376;&#20915;&#31639;&#20844;&#24320;\&#39640;&#37009;&#21439;&#25991;&#29289;&#20445;&#25252;&#25152;.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6609;&#29366;&#2227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6609;&#29366;&#2227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5991;&#21270;&#26053;&#28216;&#23616;&#26368;&#32456;&#20915;&#31639;&#20844;&#24320;\2018&#24180;\&#25991;&#20445;&#25152;\&#25991;&#20445;&#25152;2018&#24180;&#20915;&#31639;&#20844;&#24320;&#24773;&#20917;&#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zh-CN"/>
  <c:chart>
    <c:autoTitleDeleted val="1"/>
    <c:plotArea>
      <c:layout/>
      <c:pieChart>
        <c:varyColors val="1"/>
        <c:ser>
          <c:idx val="0"/>
          <c:order val="0"/>
          <c:dPt>
            <c:idx val="0"/>
          </c:dPt>
          <c:dPt>
            <c:idx val="1"/>
          </c:dPt>
          <c:dPt>
            <c:idx val="2"/>
          </c:dPt>
          <c:dPt>
            <c:idx val="3"/>
          </c:dPt>
          <c:dLbls>
            <c:dLbl>
              <c:idx val="2"/>
              <c:layout>
                <c:manualLayout>
                  <c:x val="-0.19307808398950099"/>
                  <c:y val="4.2824074074074098E-2"/>
                </c:manualLayout>
              </c:layout>
              <c:dLblPos val="bestFit"/>
              <c:showCatName val="1"/>
              <c:showPercent val="1"/>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multiLvlStrRef>
              <c:f>'Z03 收入决算表(公开02表)'!$F$4:$I$8</c:f>
              <c:multiLvlStrCache>
                <c:ptCount val="8"/>
                <c:lvl>
                  <c:pt idx="4">
                    <c:v>2</c:v>
                  </c:pt>
                  <c:pt idx="5">
                    <c:v>3</c:v>
                  </c:pt>
                  <c:pt idx="6">
                    <c:v>4</c:v>
                  </c:pt>
                  <c:pt idx="7">
                    <c:v>5</c:v>
                  </c:pt>
                </c:lvl>
                <c:lvl>
                  <c:pt idx="0">
                    <c:v>财政拨款收入</c:v>
                  </c:pt>
                  <c:pt idx="1">
                    <c:v>上级补助收入</c:v>
                  </c:pt>
                  <c:pt idx="2">
                    <c:v>事业收入</c:v>
                  </c:pt>
                  <c:pt idx="3">
                    <c:v>经营收入</c:v>
                  </c:pt>
                </c:lvl>
              </c:multiLvlStrCache>
            </c:multiLvlStrRef>
          </c:cat>
          <c:val>
            <c:numRef>
              <c:f>'Z03 收入决算表(公开02表)'!$F$9:$I$9</c:f>
              <c:numCache>
                <c:formatCode>#,##0.00</c:formatCode>
                <c:ptCount val="4"/>
                <c:pt idx="0">
                  <c:v>0.60000000000000009</c:v>
                </c:pt>
                <c:pt idx="1">
                  <c:v>0</c:v>
                </c:pt>
                <c:pt idx="2">
                  <c:v>0</c:v>
                </c:pt>
                <c:pt idx="3">
                  <c:v>0</c:v>
                </c:pt>
              </c:numCache>
            </c:numRef>
          </c:val>
        </c:ser>
        <c:dLbls>
          <c:showCatName val="1"/>
          <c:showPercent val="1"/>
        </c:dLbls>
        <c:firstSliceAng val="0"/>
      </c:pieChart>
    </c:plotArea>
    <c:legend>
      <c:legendPos val="r"/>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chart>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zh-CN"/>
  <c:chart>
    <c:autoTitleDeleted val="1"/>
    <c:plotArea>
      <c:layout/>
      <c:pieChart>
        <c:varyColors val="1"/>
        <c:ser>
          <c:idx val="0"/>
          <c:order val="0"/>
          <c:dPt>
            <c:idx val="0"/>
          </c:dPt>
          <c:dPt>
            <c:idx val="1"/>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multiLvlStrRef>
              <c:f>'Z04 支出决算表(公开03表)'!$F$4:$G$8</c:f>
              <c:multiLvlStrCache>
                <c:ptCount val="4"/>
                <c:lvl>
                  <c:pt idx="2">
                    <c:v>2</c:v>
                  </c:pt>
                  <c:pt idx="3">
                    <c:v>3</c:v>
                  </c:pt>
                </c:lvl>
                <c:lvl>
                  <c:pt idx="0">
                    <c:v>基本支出</c:v>
                  </c:pt>
                  <c:pt idx="1">
                    <c:v>项目支出</c:v>
                  </c:pt>
                </c:lvl>
              </c:multiLvlStrCache>
            </c:multiLvlStrRef>
          </c:cat>
          <c:val>
            <c:numRef>
              <c:f>'Z04 支出决算表(公开03表)'!$F$9:$G$9</c:f>
              <c:numCache>
                <c:formatCode>#,##0.00</c:formatCode>
                <c:ptCount val="2"/>
                <c:pt idx="0">
                  <c:v>0.67000000000000015</c:v>
                </c:pt>
                <c:pt idx="1">
                  <c:v>0</c:v>
                </c:pt>
              </c:numCache>
            </c:numRef>
          </c:val>
        </c:ser>
        <c:dLbls>
          <c:showCatName val="1"/>
          <c:showPercent val="1"/>
        </c:dLbls>
        <c:firstSliceAng val="0"/>
      </c:pieChart>
    </c:plotArea>
    <c:legend>
      <c:legendPos val="r"/>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chart>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zh-CN"/>
  <c:chart>
    <c:autoTitleDeleted val="1"/>
    <c:plotArea>
      <c:layout/>
      <c:barChart>
        <c:barDir val="col"/>
        <c:grouping val="clustered"/>
        <c:ser>
          <c:idx val="0"/>
          <c:order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Sheet1!$A$1:$D$1</c:f>
              <c:strCache>
                <c:ptCount val="4"/>
                <c:pt idx="0">
                  <c:v>2018年收入</c:v>
                </c:pt>
                <c:pt idx="1">
                  <c:v>2017年收入</c:v>
                </c:pt>
                <c:pt idx="2">
                  <c:v>2018年支出</c:v>
                </c:pt>
                <c:pt idx="3">
                  <c:v>2017年支出</c:v>
                </c:pt>
              </c:strCache>
            </c:strRef>
          </c:cat>
          <c:val>
            <c:numRef>
              <c:f>Sheet1!$A$2:$D$2</c:f>
              <c:numCache>
                <c:formatCode>General</c:formatCode>
                <c:ptCount val="4"/>
                <c:pt idx="0">
                  <c:v>0.60000000000000009</c:v>
                </c:pt>
                <c:pt idx="1">
                  <c:v>14.76</c:v>
                </c:pt>
                <c:pt idx="2">
                  <c:v>0.67000000000000015</c:v>
                </c:pt>
                <c:pt idx="3">
                  <c:v>14.62</c:v>
                </c:pt>
              </c:numCache>
            </c:numRef>
          </c:val>
        </c:ser>
        <c:dLbls>
          <c:showVal val="1"/>
        </c:dLbls>
        <c:axId val="80226944"/>
        <c:axId val="80228736"/>
      </c:barChart>
      <c:catAx>
        <c:axId val="80226944"/>
        <c:scaling>
          <c:orientation val="minMax"/>
        </c:scaling>
        <c:axPos val="b"/>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80228736"/>
        <c:crosses val="autoZero"/>
        <c:auto val="1"/>
        <c:lblAlgn val="ctr"/>
        <c:lblOffset val="100"/>
      </c:catAx>
      <c:valAx>
        <c:axId val="80228736"/>
        <c:scaling>
          <c:orientation val="minMax"/>
        </c:scaling>
        <c:axPos val="l"/>
        <c:majorGridlines/>
        <c:numFmt formatCode="General" sourceLinked="1"/>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80226944"/>
        <c:crosses val="autoZero"/>
        <c:crossBetween val="between"/>
      </c:valAx>
    </c:plotArea>
    <c:plotVisOnly val="1"/>
    <c:dispBlanksAs val="gap"/>
  </c:chart>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zh-CN"/>
  <c:chart>
    <c:autoTitleDeleted val="1"/>
    <c:plotArea>
      <c:layout/>
      <c:barChart>
        <c:barDir val="col"/>
        <c:grouping val="clustered"/>
        <c:ser>
          <c:idx val="0"/>
          <c:order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Sheet1!$N$1:$Q$1</c:f>
              <c:strCache>
                <c:ptCount val="4"/>
                <c:pt idx="0">
                  <c:v>收入预算数</c:v>
                </c:pt>
                <c:pt idx="1">
                  <c:v>收入决算数</c:v>
                </c:pt>
                <c:pt idx="2">
                  <c:v>支出预算数</c:v>
                </c:pt>
                <c:pt idx="3">
                  <c:v>支出决算数</c:v>
                </c:pt>
              </c:strCache>
            </c:strRef>
          </c:cat>
          <c:val>
            <c:numRef>
              <c:f>Sheet1!$N$2:$Q$2</c:f>
              <c:numCache>
                <c:formatCode>General</c:formatCode>
                <c:ptCount val="4"/>
                <c:pt idx="0">
                  <c:v>0.60000000000000009</c:v>
                </c:pt>
                <c:pt idx="1">
                  <c:v>0.60000000000000009</c:v>
                </c:pt>
                <c:pt idx="2">
                  <c:v>0.60000000000000009</c:v>
                </c:pt>
                <c:pt idx="3">
                  <c:v>0.67000000000000015</c:v>
                </c:pt>
              </c:numCache>
            </c:numRef>
          </c:val>
        </c:ser>
        <c:dLbls>
          <c:showVal val="1"/>
        </c:dLbls>
        <c:axId val="80240000"/>
        <c:axId val="80266368"/>
      </c:barChart>
      <c:catAx>
        <c:axId val="80240000"/>
        <c:scaling>
          <c:orientation val="minMax"/>
        </c:scaling>
        <c:axPos val="b"/>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80266368"/>
        <c:crosses val="autoZero"/>
        <c:auto val="1"/>
        <c:lblAlgn val="ctr"/>
        <c:lblOffset val="100"/>
      </c:catAx>
      <c:valAx>
        <c:axId val="80266368"/>
        <c:scaling>
          <c:orientation val="minMax"/>
        </c:scaling>
        <c:axPos val="l"/>
        <c:majorGridlines/>
        <c:numFmt formatCode="General" sourceLinked="1"/>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80240000"/>
        <c:crosses val="autoZero"/>
        <c:crossBetween val="between"/>
      </c:valAx>
    </c:plotArea>
    <c:plotVisOnly val="1"/>
    <c:dispBlanksAs val="gap"/>
  </c:chart>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zh-CN"/>
  <c:chart>
    <c:autoTitleDeleted val="1"/>
    <c:plotArea>
      <c:layout/>
      <c:pieChart>
        <c:varyColors val="1"/>
        <c:ser>
          <c:idx val="0"/>
          <c:order val="0"/>
          <c:tx>
            <c:strRef>
              <c:f>' 政府性基金预算财政拨款收入支出决算表(公开08表)'!$F$26</c:f>
              <c:strCache>
                <c:ptCount val="1"/>
                <c:pt idx="0">
                  <c:v>文化体育与传媒支出</c:v>
                </c:pt>
              </c:strCache>
            </c:strRef>
          </c:tx>
          <c:dLbls>
            <c:showVal val="1"/>
            <c:showSerName val="1"/>
            <c:showPercent val="1"/>
            <c:showLeaderLines val="1"/>
          </c:dLbls>
          <c:val>
            <c:numRef>
              <c:f>' 政府性基金预算财政拨款收入支出决算表(公开08表)'!$G$26</c:f>
              <c:numCache>
                <c:formatCode>General</c:formatCode>
                <c:ptCount val="1"/>
                <c:pt idx="0">
                  <c:v>0.67</c:v>
                </c:pt>
              </c:numCache>
            </c:numRef>
          </c:val>
        </c:ser>
        <c:firstSliceAng val="0"/>
      </c:pieChart>
      <c:spPr>
        <a:noFill/>
        <a:ln w="25400">
          <a:noFill/>
        </a:ln>
      </c:spPr>
    </c:plotArea>
    <c:plotVisOnly val="1"/>
  </c:chart>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FFA6C958-0A32-476F-9634-4CD23BD0E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4494</Words>
  <Characters>1107</Characters>
  <Application>Microsoft Office Word</Application>
  <DocSecurity>0</DocSecurity>
  <Lines>9</Lines>
  <Paragraphs>11</Paragraphs>
  <ScaleCrop>false</ScaleCrop>
  <Company>Microsoft</Company>
  <LinksUpToDate>false</LinksUpToDate>
  <CharactersWithSpaces>5590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Administrator</cp:lastModifiedBy>
  <cp:revision>10</cp:revision>
  <cp:lastPrinted>2019-08-02T01:01:00Z</cp:lastPrinted>
  <dcterms:created xsi:type="dcterms:W3CDTF">2019-08-28T08:40:00Z</dcterms:created>
  <dcterms:modified xsi:type="dcterms:W3CDTF">2021-06-16T15:32:00Z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E7CFADA34443401A83408AA1FB1FF5B9</vt:lpwstr>
  </property>
</Properties>
</file>