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287E5A">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14:paraId="48CEA187">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v:path/>
            <v:fill on="f" focussize="0,0"/>
            <v:stroke on="f" weight="0.5pt" joinstyle="miter"/>
            <v:imagedata o:title=""/>
            <o:lock v:ext="edit"/>
            <v:textbox>
              <w:txbxContent>
                <w:p w14:paraId="2E0F88CE">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高邑县房地产服务中心</w:t>
                  </w:r>
                </w:p>
                <w:p w14:paraId="33D9FCCB">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14:paraId="59855B1D">
                  <w:pPr>
                    <w:rPr>
                      <w:color w:val="FDEFBE"/>
                      <w:sz w:val="96"/>
                      <w:szCs w:val="96"/>
                    </w:rPr>
                  </w:pPr>
                </w:p>
              </w:txbxContent>
            </v:textbox>
          </v:shape>
        </w:pict>
      </w:r>
    </w:p>
    <w:p w14:paraId="38DD149E">
      <w:pPr>
        <w:widowControl/>
        <w:jc w:val="center"/>
        <w:rPr>
          <w:rFonts w:asciiTheme="minorEastAsia" w:hAnsiTheme="minorEastAsia" w:eastAsiaTheme="minorEastAsia"/>
          <w:b/>
          <w:sz w:val="72"/>
          <w:szCs w:val="72"/>
        </w:rPr>
      </w:pPr>
    </w:p>
    <w:p w14:paraId="709E31A9">
      <w:pPr>
        <w:widowControl/>
        <w:jc w:val="center"/>
        <w:rPr>
          <w:rFonts w:asciiTheme="minorEastAsia" w:hAnsiTheme="minorEastAsia" w:eastAsiaTheme="minorEastAsia"/>
          <w:b/>
          <w:sz w:val="72"/>
          <w:szCs w:val="72"/>
        </w:rPr>
      </w:pPr>
    </w:p>
    <w:p w14:paraId="78A5FDA8">
      <w:pPr>
        <w:widowControl/>
        <w:jc w:val="center"/>
        <w:rPr>
          <w:rFonts w:asciiTheme="minorEastAsia" w:hAnsiTheme="minorEastAsia" w:eastAsiaTheme="minorEastAsia"/>
          <w:b/>
          <w:sz w:val="72"/>
          <w:szCs w:val="72"/>
        </w:rPr>
      </w:pPr>
    </w:p>
    <w:p w14:paraId="41369965">
      <w:pPr>
        <w:widowControl/>
        <w:jc w:val="center"/>
        <w:rPr>
          <w:rFonts w:asciiTheme="minorEastAsia" w:hAnsiTheme="minorEastAsia" w:eastAsiaTheme="minorEastAsia"/>
          <w:b/>
          <w:sz w:val="72"/>
          <w:szCs w:val="72"/>
        </w:rPr>
      </w:pPr>
    </w:p>
    <w:p w14:paraId="0B68B2C3">
      <w:pPr>
        <w:widowControl/>
        <w:jc w:val="center"/>
        <w:rPr>
          <w:rFonts w:asciiTheme="minorEastAsia" w:hAnsiTheme="minorEastAsia" w:eastAsiaTheme="minorEastAsia"/>
          <w:b/>
          <w:sz w:val="72"/>
          <w:szCs w:val="72"/>
        </w:rPr>
      </w:pPr>
    </w:p>
    <w:p w14:paraId="431A6C2D">
      <w:pPr>
        <w:widowControl/>
        <w:jc w:val="center"/>
        <w:rPr>
          <w:rFonts w:asciiTheme="minorEastAsia" w:hAnsiTheme="minorEastAsia" w:eastAsiaTheme="minorEastAsia"/>
          <w:b/>
          <w:sz w:val="72"/>
          <w:szCs w:val="72"/>
        </w:rPr>
      </w:pPr>
    </w:p>
    <w:p w14:paraId="60812151">
      <w:pPr>
        <w:widowControl/>
        <w:jc w:val="center"/>
        <w:rPr>
          <w:rFonts w:asciiTheme="minorEastAsia" w:hAnsiTheme="minorEastAsia" w:eastAsiaTheme="minorEastAsia"/>
          <w:b/>
          <w:sz w:val="72"/>
          <w:szCs w:val="72"/>
        </w:rPr>
      </w:pPr>
    </w:p>
    <w:p w14:paraId="4F1F4CDC">
      <w:pPr>
        <w:widowControl/>
        <w:jc w:val="center"/>
        <w:rPr>
          <w:rFonts w:asciiTheme="minorEastAsia" w:hAnsiTheme="minorEastAsia" w:eastAsiaTheme="minorEastAsia"/>
          <w:b/>
          <w:sz w:val="72"/>
          <w:szCs w:val="72"/>
        </w:rPr>
      </w:pPr>
    </w:p>
    <w:p w14:paraId="6F612AC9">
      <w:pPr>
        <w:widowControl/>
        <w:jc w:val="center"/>
        <w:rPr>
          <w:rFonts w:ascii="楷体" w:hAnsi="楷体" w:eastAsia="楷体" w:cs="楷体"/>
          <w:b/>
          <w:sz w:val="40"/>
          <w:szCs w:val="40"/>
        </w:rPr>
      </w:pPr>
    </w:p>
    <w:p w14:paraId="4B9189AD">
      <w:pPr>
        <w:widowControl/>
        <w:jc w:val="center"/>
        <w:rPr>
          <w:rFonts w:ascii="楷体_GB2312" w:hAnsi="楷体" w:cs="楷体" w:eastAsiaTheme="minorEastAsia"/>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p>
    <w:p w14:paraId="58180EEA">
      <w:pPr>
        <w:spacing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73600;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722B608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E4D869D">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5218894C">
                    <w:pPr>
                      <w:jc w:val="center"/>
                    </w:pPr>
                  </w:p>
                </w:txbxContent>
              </v:textbox>
            </v:rect>
            <w10:anchorlock/>
          </v:group>
        </w:pict>
      </w:r>
      <w:r>
        <w:rPr>
          <w:rFonts w:hint="eastAsia" w:ascii="黑体" w:eastAsia="黑体"/>
          <w:sz w:val="48"/>
          <w:szCs w:val="48"/>
        </w:rPr>
        <w:t>目    录</w:t>
      </w:r>
    </w:p>
    <w:p w14:paraId="55128368">
      <w:pPr>
        <w:widowControl/>
        <w:spacing w:line="580" w:lineRule="exact"/>
        <w:ind w:firstLine="640" w:firstLineChars="200"/>
        <w:rPr>
          <w:rFonts w:eastAsia="黑体"/>
          <w:sz w:val="32"/>
          <w:szCs w:val="32"/>
        </w:rPr>
      </w:pPr>
    </w:p>
    <w:p w14:paraId="3B1744CF">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14:paraId="5F91BE3E">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02ECD6B1">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17E1D73D">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1B3B6059">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383F82F4">
      <w:pPr>
        <w:widowControl/>
        <w:spacing w:line="580" w:lineRule="exact"/>
        <w:ind w:left="640" w:firstLine="640" w:firstLineChars="200"/>
        <w:rPr>
          <w:rFonts w:eastAsia="仿宋_GB2312"/>
          <w:sz w:val="32"/>
          <w:szCs w:val="32"/>
        </w:rPr>
      </w:pPr>
      <w:r>
        <w:rPr>
          <w:rFonts w:eastAsia="仿宋_GB2312"/>
          <w:sz w:val="32"/>
          <w:szCs w:val="32"/>
        </w:rPr>
        <w:t>二、收入决算表</w:t>
      </w:r>
    </w:p>
    <w:p w14:paraId="753D1DB0">
      <w:pPr>
        <w:widowControl/>
        <w:spacing w:line="580" w:lineRule="exact"/>
        <w:ind w:left="640" w:firstLine="640" w:firstLineChars="200"/>
        <w:rPr>
          <w:rFonts w:eastAsia="仿宋_GB2312"/>
          <w:sz w:val="32"/>
          <w:szCs w:val="32"/>
        </w:rPr>
      </w:pPr>
      <w:r>
        <w:rPr>
          <w:rFonts w:eastAsia="仿宋_GB2312"/>
          <w:sz w:val="32"/>
          <w:szCs w:val="32"/>
        </w:rPr>
        <w:t>三、支出决算表</w:t>
      </w:r>
    </w:p>
    <w:p w14:paraId="085E4BBA">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576DFD9E">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56D918EE">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09D15A1C">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755C2BA1">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044489D6">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39B8FFE6">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75C739B8">
      <w:pPr>
        <w:widowControl/>
        <w:spacing w:line="580" w:lineRule="exact"/>
        <w:ind w:firstLine="640" w:firstLineChars="200"/>
        <w:rPr>
          <w:rFonts w:eastAsia="黑体"/>
          <w:sz w:val="32"/>
          <w:szCs w:val="32"/>
        </w:rPr>
      </w:pPr>
    </w:p>
    <w:p w14:paraId="09B05307">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 xml:space="preserve">   高邑县房地产服务中心</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72576;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ezVw+2wAAAAsBAAAPAAAAAAAAAAEAIAAAACIAAABkcnMvZG93bnJldi54bWxQSwECFAAU&#10;AAAACACHTuJAIRuBe0QDAABACQAADgAAAAAAAAABACAAAAAqAQAAZHJzL2Uyb0RvYy54bWxQSwUG&#10;AAAAAAYABgBZAQAA4AYAAAAA&#10;">
            <o:lock v:ext="edit"/>
            <v:rect id="矩形 13" o:spid="_x0000_s112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0E8F3DE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30072243">
                    <w:pPr>
                      <w:jc w:val="center"/>
                    </w:pPr>
                  </w:p>
                </w:txbxContent>
              </v:textbox>
            </v:rect>
            <w10:anchorlock/>
          </v:group>
        </w:pict>
      </w:r>
    </w:p>
    <w:p w14:paraId="1F2AD0BB">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4C44147D">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5AFB39FC">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4DBA9A97">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0F7935A8">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08D4E57C">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7FDCC735">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0A39DFF3">
      <w:pPr>
        <w:widowControl/>
        <w:spacing w:line="580" w:lineRule="exact"/>
        <w:ind w:firstLine="640" w:firstLineChars="200"/>
        <w:rPr>
          <w:rFonts w:eastAsia="黑体"/>
          <w:sz w:val="32"/>
          <w:szCs w:val="32"/>
        </w:rPr>
      </w:pPr>
      <w:r>
        <w:rPr>
          <w:rFonts w:eastAsia="黑体"/>
          <w:sz w:val="32"/>
          <w:szCs w:val="32"/>
        </w:rPr>
        <w:t>第四部分  名词解释</w:t>
      </w:r>
    </w:p>
    <w:p w14:paraId="2DCA847D">
      <w:pPr>
        <w:widowControl/>
        <w:spacing w:line="580" w:lineRule="exact"/>
        <w:ind w:firstLine="640" w:firstLineChars="200"/>
        <w:rPr>
          <w:rFonts w:eastAsia="黑体"/>
          <w:sz w:val="32"/>
          <w:szCs w:val="32"/>
        </w:rPr>
      </w:pPr>
    </w:p>
    <w:p w14:paraId="102D8DB6">
      <w:pPr>
        <w:widowControl/>
        <w:spacing w:line="580" w:lineRule="exact"/>
        <w:ind w:firstLine="640" w:firstLineChars="200"/>
        <w:rPr>
          <w:rFonts w:eastAsia="黑体"/>
          <w:sz w:val="32"/>
          <w:szCs w:val="32"/>
        </w:rPr>
      </w:pPr>
    </w:p>
    <w:p w14:paraId="726372D6">
      <w:pPr>
        <w:widowControl/>
        <w:spacing w:line="580" w:lineRule="exact"/>
        <w:ind w:firstLine="640" w:firstLineChars="200"/>
        <w:rPr>
          <w:rFonts w:eastAsia="黑体"/>
          <w:sz w:val="32"/>
          <w:szCs w:val="32"/>
        </w:rPr>
      </w:pPr>
    </w:p>
    <w:p w14:paraId="431283BC">
      <w:pPr>
        <w:widowControl/>
        <w:spacing w:line="580" w:lineRule="exact"/>
        <w:ind w:firstLine="640" w:firstLineChars="200"/>
        <w:rPr>
          <w:rFonts w:eastAsia="黑体"/>
          <w:sz w:val="32"/>
          <w:szCs w:val="32"/>
        </w:rPr>
      </w:pPr>
    </w:p>
    <w:p w14:paraId="064B7ABB">
      <w:r>
        <w:br w:type="page"/>
      </w:r>
    </w:p>
    <w:p w14:paraId="40459939">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path/>
            <v:fill on="f" focussize="0,0"/>
            <v:stroke on="f" weight="0.5pt" joinstyle="miter"/>
            <v:imagedata o:title=""/>
            <o:lock v:ext="edit"/>
            <v:textbox>
              <w:txbxContent>
                <w:p w14:paraId="482F0DF4">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14:paraId="389C6838"/>
    <w:p w14:paraId="78C8474F"/>
    <w:p w14:paraId="3C55968E"/>
    <w:p w14:paraId="00287374"/>
    <w:p w14:paraId="01082B11"/>
    <w:p w14:paraId="149DB703"/>
    <w:p w14:paraId="12AEA9F5"/>
    <w:p w14:paraId="67660302"/>
    <w:p w14:paraId="1DD93CEC"/>
    <w:p w14:paraId="2D561D50"/>
    <w:p w14:paraId="50865F2A"/>
    <w:p w14:paraId="090C2ECD"/>
    <w:p w14:paraId="4FE68812"/>
    <w:p w14:paraId="01725B62"/>
    <w:p w14:paraId="6F511C72"/>
    <w:p w14:paraId="1AED0F5A">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62336;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3CEC976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44A904A3">
                    <w:pPr>
                      <w:jc w:val="center"/>
                    </w:pPr>
                  </w:p>
                </w:txbxContent>
              </v:textbox>
            </v:rect>
            <w10:anchorlock/>
          </v:group>
        </w:pict>
      </w:r>
      <w:r>
        <w:rPr>
          <w:rFonts w:hint="eastAsia" w:ascii="黑体" w:eastAsia="黑体" w:cs="黑体" w:hAnsiTheme="minorHAnsi"/>
          <w:b w:val="0"/>
          <w:bCs w:val="0"/>
          <w:kern w:val="0"/>
          <w:sz w:val="32"/>
          <w:szCs w:val="32"/>
        </w:rPr>
        <w:t>一、部门职责</w:t>
      </w:r>
    </w:p>
    <w:p w14:paraId="5E0D7E4E">
      <w:pPr>
        <w:autoSpaceDE w:val="0"/>
        <w:autoSpaceDN w:val="0"/>
        <w:adjustRightInd w:val="0"/>
        <w:spacing w:after="0" w:line="560" w:lineRule="exact"/>
        <w:jc w:val="left"/>
        <w:rPr>
          <w:rFonts w:ascii="仿宋_GB2312" w:cs="ArialUnicodeMS" w:hAnsiTheme="minorHAnsi" w:eastAsiaTheme="minorEastAsia"/>
          <w:kern w:val="0"/>
          <w:sz w:val="32"/>
          <w:szCs w:val="32"/>
        </w:rPr>
      </w:pPr>
      <w:r>
        <w:rPr>
          <w:rFonts w:hint="eastAsia" w:ascii="仿宋_GB2312" w:cs="ArialUnicodeMS" w:hAnsiTheme="minorHAnsi" w:eastAsiaTheme="minorEastAsia"/>
          <w:kern w:val="0"/>
          <w:sz w:val="32"/>
          <w:szCs w:val="32"/>
        </w:rPr>
        <w:t>1：房产交易管理  2：保障性住房建设及管理   3：房产市场监督管理   4：物业管理   5：城市危房管理</w:t>
      </w:r>
    </w:p>
    <w:p w14:paraId="2566732D">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14:paraId="3F7AAA11">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06B60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A9ADC64">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14:paraId="52511712">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14:paraId="7CF23268">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14:paraId="59C989AA">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14:paraId="49B62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E1BA471">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14:paraId="4790F7DA">
            <w:pPr>
              <w:spacing w:after="0" w:line="560" w:lineRule="exact"/>
              <w:rPr>
                <w:rFonts w:ascii="仿宋_GB2312" w:cs="ArialUnicodeMS" w:hAnsiTheme="minorHAnsi" w:eastAsiaTheme="minorEastAsia"/>
                <w:kern w:val="0"/>
                <w:sz w:val="28"/>
                <w:szCs w:val="28"/>
              </w:rPr>
            </w:pPr>
            <w:r>
              <w:rPr>
                <w:rFonts w:hint="eastAsia" w:ascii="仿宋_GB2312" w:cs="ArialUnicodeMS" w:hAnsiTheme="minorHAnsi" w:eastAsiaTheme="minorEastAsia"/>
                <w:kern w:val="0"/>
                <w:sz w:val="28"/>
                <w:szCs w:val="28"/>
              </w:rPr>
              <w:t>高邑县房地产服务中心</w:t>
            </w:r>
          </w:p>
        </w:tc>
        <w:tc>
          <w:tcPr>
            <w:tcW w:w="2445" w:type="dxa"/>
          </w:tcPr>
          <w:p w14:paraId="4292A91C">
            <w:pPr>
              <w:spacing w:after="0" w:line="560" w:lineRule="exact"/>
              <w:jc w:val="center"/>
              <w:rPr>
                <w:rFonts w:ascii="仿宋_GB2312" w:cs="ArialUnicodeMS" w:hAnsiTheme="minorHAnsi" w:eastAsiaTheme="minorEastAsia"/>
                <w:kern w:val="0"/>
                <w:sz w:val="28"/>
                <w:szCs w:val="28"/>
              </w:rPr>
            </w:pPr>
            <w:r>
              <w:rPr>
                <w:rFonts w:hint="eastAsia" w:ascii="仿宋_GB2312" w:cs="ArialUnicodeMS" w:hAnsiTheme="minorHAnsi" w:eastAsiaTheme="minorEastAsia"/>
                <w:kern w:val="0"/>
                <w:sz w:val="28"/>
                <w:szCs w:val="28"/>
              </w:rPr>
              <w:t>经费自理事业单位</w:t>
            </w:r>
          </w:p>
        </w:tc>
        <w:tc>
          <w:tcPr>
            <w:tcW w:w="2665" w:type="dxa"/>
          </w:tcPr>
          <w:p w14:paraId="5397D2E8">
            <w:pPr>
              <w:spacing w:after="0" w:line="560" w:lineRule="exact"/>
              <w:jc w:val="center"/>
              <w:rPr>
                <w:rFonts w:ascii="仿宋_GB2312" w:cs="ArialUnicodeMS" w:hAnsiTheme="minorHAnsi" w:eastAsiaTheme="minorEastAsia"/>
                <w:kern w:val="0"/>
                <w:sz w:val="28"/>
                <w:szCs w:val="28"/>
              </w:rPr>
            </w:pPr>
            <w:r>
              <w:rPr>
                <w:rFonts w:hint="eastAsia" w:ascii="仿宋_GB2312" w:cs="ArialUnicodeMS" w:hAnsiTheme="minorHAnsi" w:eastAsiaTheme="minorEastAsia"/>
                <w:kern w:val="0"/>
                <w:sz w:val="28"/>
                <w:szCs w:val="28"/>
              </w:rPr>
              <w:t>财政性资金零补助</w:t>
            </w:r>
          </w:p>
        </w:tc>
      </w:tr>
      <w:tr w14:paraId="5E066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0B63D89">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14:paraId="566A0C87">
            <w:pPr>
              <w:spacing w:after="0" w:line="560" w:lineRule="exact"/>
              <w:rPr>
                <w:rFonts w:ascii="仿宋_GB2312" w:eastAsia="仿宋_GB2312" w:cs="ArialUnicodeMS" w:hAnsiTheme="minorHAnsi"/>
                <w:kern w:val="0"/>
                <w:sz w:val="28"/>
                <w:szCs w:val="28"/>
              </w:rPr>
            </w:pPr>
          </w:p>
        </w:tc>
        <w:tc>
          <w:tcPr>
            <w:tcW w:w="2445" w:type="dxa"/>
          </w:tcPr>
          <w:p w14:paraId="4B8025CE">
            <w:pPr>
              <w:spacing w:after="0" w:line="560" w:lineRule="exact"/>
              <w:jc w:val="center"/>
              <w:rPr>
                <w:rFonts w:ascii="仿宋_GB2312" w:eastAsia="仿宋_GB2312" w:cs="ArialUnicodeMS" w:hAnsiTheme="minorHAnsi"/>
                <w:kern w:val="0"/>
                <w:sz w:val="28"/>
                <w:szCs w:val="28"/>
              </w:rPr>
            </w:pPr>
          </w:p>
        </w:tc>
        <w:tc>
          <w:tcPr>
            <w:tcW w:w="2665" w:type="dxa"/>
          </w:tcPr>
          <w:p w14:paraId="2989AC9E">
            <w:pPr>
              <w:spacing w:after="0" w:line="560" w:lineRule="exact"/>
              <w:jc w:val="center"/>
              <w:rPr>
                <w:rFonts w:ascii="仿宋_GB2312" w:eastAsia="仿宋_GB2312" w:cs="ArialUnicodeMS" w:hAnsiTheme="minorHAnsi"/>
                <w:kern w:val="0"/>
                <w:sz w:val="28"/>
                <w:szCs w:val="28"/>
              </w:rPr>
            </w:pPr>
          </w:p>
        </w:tc>
      </w:tr>
      <w:tr w14:paraId="79B4A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3B0D540">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14:paraId="04C538C5">
            <w:pPr>
              <w:spacing w:after="0" w:line="560" w:lineRule="exact"/>
              <w:rPr>
                <w:rFonts w:ascii="仿宋_GB2312" w:eastAsia="仿宋_GB2312" w:cs="ArialUnicodeMS" w:hAnsiTheme="minorHAnsi"/>
                <w:kern w:val="0"/>
                <w:sz w:val="28"/>
                <w:szCs w:val="28"/>
              </w:rPr>
            </w:pPr>
          </w:p>
        </w:tc>
        <w:tc>
          <w:tcPr>
            <w:tcW w:w="2445" w:type="dxa"/>
          </w:tcPr>
          <w:p w14:paraId="449A672F">
            <w:pPr>
              <w:spacing w:after="0" w:line="560" w:lineRule="exact"/>
              <w:jc w:val="center"/>
              <w:rPr>
                <w:rFonts w:ascii="仿宋_GB2312" w:eastAsia="仿宋_GB2312" w:cs="ArialUnicodeMS" w:hAnsiTheme="minorHAnsi"/>
                <w:kern w:val="0"/>
                <w:sz w:val="28"/>
                <w:szCs w:val="28"/>
              </w:rPr>
            </w:pPr>
          </w:p>
        </w:tc>
        <w:tc>
          <w:tcPr>
            <w:tcW w:w="2665" w:type="dxa"/>
          </w:tcPr>
          <w:p w14:paraId="2738C468">
            <w:pPr>
              <w:spacing w:after="0" w:line="560" w:lineRule="exact"/>
              <w:jc w:val="center"/>
              <w:rPr>
                <w:rFonts w:ascii="仿宋_GB2312" w:eastAsia="仿宋_GB2312" w:cs="ArialUnicodeMS" w:hAnsiTheme="minorHAnsi"/>
                <w:kern w:val="0"/>
                <w:sz w:val="28"/>
                <w:szCs w:val="28"/>
              </w:rPr>
            </w:pPr>
          </w:p>
        </w:tc>
      </w:tr>
      <w:tr w14:paraId="73A83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691DEF12">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85" w:type="dxa"/>
            <w:tcBorders>
              <w:bottom w:val="single" w:color="auto" w:sz="4" w:space="0"/>
            </w:tcBorders>
          </w:tcPr>
          <w:p w14:paraId="1DD729CB">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445" w:type="dxa"/>
            <w:tcBorders>
              <w:bottom w:val="single" w:color="auto" w:sz="4" w:space="0"/>
            </w:tcBorders>
          </w:tcPr>
          <w:p w14:paraId="535DB33C">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14:paraId="63402A02">
            <w:pPr>
              <w:spacing w:after="0" w:line="560" w:lineRule="exact"/>
              <w:jc w:val="center"/>
              <w:rPr>
                <w:rFonts w:ascii="仿宋_GB2312" w:eastAsia="仿宋_GB2312" w:cs="ArialUnicodeMS" w:hAnsiTheme="minorHAnsi"/>
                <w:kern w:val="0"/>
                <w:sz w:val="28"/>
                <w:szCs w:val="28"/>
              </w:rPr>
            </w:pPr>
          </w:p>
        </w:tc>
      </w:tr>
    </w:tbl>
    <w:p w14:paraId="19602CDB">
      <w:pPr>
        <w:spacing w:after="0" w:line="560" w:lineRule="exact"/>
        <w:rPr>
          <w:rFonts w:ascii="仿宋_GB2312" w:eastAsia="仿宋_GB2312" w:cs="ArialUnicodeMS" w:hAnsiTheme="minorHAnsi"/>
          <w:kern w:val="0"/>
          <w:sz w:val="32"/>
          <w:szCs w:val="32"/>
        </w:rPr>
      </w:pPr>
    </w:p>
    <w:p w14:paraId="72EF9C7D">
      <w:pPr>
        <w:widowControl/>
        <w:spacing w:line="560" w:lineRule="exact"/>
        <w:jc w:val="center"/>
        <w:rPr>
          <w:rFonts w:ascii="黑体" w:eastAsia="黑体" w:cs="MS-UIGothic,Bold" w:hAnsiTheme="minorHAnsi"/>
          <w:bCs/>
          <w:kern w:val="0"/>
          <w:sz w:val="52"/>
          <w:szCs w:val="52"/>
        </w:rPr>
      </w:pPr>
    </w:p>
    <w:p w14:paraId="15C7ACEF">
      <w:pPr>
        <w:widowControl/>
        <w:spacing w:line="560" w:lineRule="exact"/>
        <w:jc w:val="center"/>
        <w:rPr>
          <w:rFonts w:ascii="黑体" w:eastAsia="黑体" w:cs="MS-UIGothic,Bold" w:hAnsiTheme="minorHAnsi"/>
          <w:bCs/>
          <w:kern w:val="0"/>
          <w:sz w:val="52"/>
          <w:szCs w:val="52"/>
        </w:rPr>
      </w:pPr>
    </w:p>
    <w:p w14:paraId="4295F9DB">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14:paraId="4AD54F3B">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14:paraId="7328EC0D">
      <w:pPr>
        <w:widowControl/>
        <w:spacing w:line="560" w:lineRule="exact"/>
        <w:jc w:val="center"/>
        <w:rPr>
          <w:rFonts w:ascii="黑体" w:eastAsia="黑体" w:cs="MS-UIGothic,Bold" w:hAnsiTheme="minorHAnsi"/>
          <w:bCs/>
          <w:kern w:val="0"/>
          <w:sz w:val="52"/>
          <w:szCs w:val="52"/>
        </w:rPr>
      </w:pPr>
    </w:p>
    <w:p w14:paraId="1317CB75">
      <w:pPr>
        <w:rPr>
          <w:rFonts w:ascii="宋体" w:hAnsi="宋体" w:cs="ArialUnicodeMS"/>
          <w:color w:val="000000"/>
          <w:kern w:val="0"/>
        </w:rPr>
      </w:pPr>
    </w:p>
    <w:p w14:paraId="4DAA7B0B">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path/>
            <v:fill on="f" focussize="0,0"/>
            <v:stroke on="f" weight="0.5pt" joinstyle="miter"/>
            <v:imagedata o:title=""/>
            <o:lock v:ext="edit"/>
            <v:textbox>
              <w:txbxContent>
                <w:p w14:paraId="23650A27">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14:paraId="02FF93B1">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14:paraId="283436EB">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path/>
            <v:fill on="f" focussize="0,0"/>
            <v:stroke on="f" weight="0.5pt" joinstyle="miter"/>
            <v:imagedata o:title=""/>
            <o:lock v:ext="edit"/>
            <v:textbox>
              <w:txbxContent>
                <w:p w14:paraId="6017770C">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19FCE3EB">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14:paraId="01F1F910">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8486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151D891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26CED3CB">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14:paraId="344339FC">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本部门2018年度收支总计（含结转和结余）</w:t>
      </w:r>
      <w:r>
        <w:rPr>
          <w:rFonts w:hint="eastAsia" w:ascii="仿宋_GB2312" w:cs="DengXian-Regular" w:eastAsiaTheme="minorEastAsia"/>
          <w:sz w:val="32"/>
          <w:szCs w:val="32"/>
        </w:rPr>
        <w:t>1146.</w:t>
      </w:r>
      <w:r>
        <w:rPr>
          <w:rFonts w:hint="eastAsia" w:ascii="宋体" w:hAnsi="宋体" w:cs="宋体"/>
          <w:sz w:val="32"/>
          <w:szCs w:val="32"/>
        </w:rPr>
        <w:t>95</w:t>
      </w:r>
      <w:r>
        <w:rPr>
          <w:rFonts w:hint="eastAsia" w:ascii="仿宋_GB2312" w:eastAsia="仿宋_GB2312" w:cs="DengXian-Regular"/>
          <w:sz w:val="32"/>
          <w:szCs w:val="32"/>
        </w:rPr>
        <w:t>万元。与2017年度决算相比，收支各减少</w:t>
      </w:r>
      <w:r>
        <w:rPr>
          <w:rFonts w:hint="eastAsia" w:ascii="仿宋_GB2312" w:cs="DengXian-Regular" w:eastAsiaTheme="minorEastAsia"/>
          <w:sz w:val="32"/>
          <w:szCs w:val="32"/>
        </w:rPr>
        <w:t>2783.53</w:t>
      </w:r>
      <w:r>
        <w:rPr>
          <w:rFonts w:hint="eastAsia" w:ascii="仿宋_GB2312" w:eastAsia="仿宋_GB2312" w:cs="DengXian-Regular"/>
          <w:sz w:val="32"/>
          <w:szCs w:val="32"/>
        </w:rPr>
        <w:t>万元，下降</w:t>
      </w:r>
      <w:r>
        <w:rPr>
          <w:rFonts w:hint="eastAsia" w:ascii="仿宋_GB2312" w:cs="DengXian-Regular" w:eastAsiaTheme="minorEastAsia"/>
          <w:sz w:val="32"/>
          <w:szCs w:val="32"/>
        </w:rPr>
        <w:t>70.</w:t>
      </w:r>
      <w:r>
        <w:rPr>
          <w:rFonts w:hint="eastAsia" w:ascii="宋体" w:hAnsi="宋体" w:cs="宋体"/>
          <w:sz w:val="32"/>
          <w:szCs w:val="32"/>
        </w:rPr>
        <w:t>82</w:t>
      </w:r>
      <w:r>
        <w:rPr>
          <w:rFonts w:hint="eastAsia" w:ascii="仿宋_GB2312" w:eastAsia="仿宋_GB2312" w:cs="DengXian-Regular"/>
          <w:sz w:val="32"/>
          <w:szCs w:val="32"/>
        </w:rPr>
        <w:t>%，主要原因是</w:t>
      </w:r>
      <w:r>
        <w:rPr>
          <w:rFonts w:hint="eastAsia" w:ascii="仿宋_GB2312" w:cs="DengXian-Regular" w:eastAsiaTheme="minorEastAsia"/>
          <w:sz w:val="32"/>
          <w:szCs w:val="32"/>
        </w:rPr>
        <w:t>棚户区改造项目的减少</w:t>
      </w:r>
      <w:r>
        <w:rPr>
          <w:rFonts w:hint="eastAsia" w:ascii="仿宋_GB2312" w:eastAsia="仿宋_GB2312" w:cs="DengXian-Regular"/>
          <w:sz w:val="32"/>
          <w:szCs w:val="32"/>
        </w:rPr>
        <w:t>。</w:t>
      </w:r>
    </w:p>
    <w:p w14:paraId="46677248">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7834232D">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万元，其中：财政拨款收入</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万元，占</w:t>
      </w:r>
      <w:r>
        <w:rPr>
          <w:rFonts w:hint="eastAsia" w:ascii="仿宋_GB2312" w:cs="DengXian-Regular" w:eastAsiaTheme="minorEastAsia"/>
          <w:sz w:val="32"/>
          <w:szCs w:val="32"/>
        </w:rPr>
        <w:t>100</w:t>
      </w:r>
      <w:r>
        <w:rPr>
          <w:rFonts w:hint="eastAsia" w:ascii="仿宋_GB2312" w:eastAsia="仿宋_GB2312" w:cs="DengXian-Regular"/>
          <w:sz w:val="32"/>
          <w:szCs w:val="32"/>
        </w:rPr>
        <w:t>%；事业收入</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%；经营收入</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%；其他收入</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%。如图所示：</w:t>
      </w:r>
    </w:p>
    <w:p w14:paraId="77D0C9C0">
      <w:pPr>
        <w:adjustRightInd w:val="0"/>
        <w:snapToGrid w:val="0"/>
        <w:spacing w:after="0" w:line="580" w:lineRule="exact"/>
        <w:ind w:firstLine="1920" w:firstLineChars="6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92032" behindDoc="0" locked="0" layoutInCell="1" allowOverlap="1">
            <wp:simplePos x="0" y="0"/>
            <wp:positionH relativeFrom="column">
              <wp:posOffset>820420</wp:posOffset>
            </wp:positionH>
            <wp:positionV relativeFrom="paragraph">
              <wp:posOffset>350520</wp:posOffset>
            </wp:positionV>
            <wp:extent cx="4448175" cy="2466975"/>
            <wp:effectExtent l="19050" t="0" r="0" b="0"/>
            <wp:wrapNone/>
            <wp:docPr id="11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14:paraId="087BC51C">
      <w:pPr>
        <w:adjustRightInd w:val="0"/>
        <w:snapToGrid w:val="0"/>
        <w:spacing w:after="0" w:line="580" w:lineRule="exact"/>
        <w:ind w:firstLine="1920" w:firstLineChars="600"/>
        <w:rPr>
          <w:rFonts w:ascii="仿宋_GB2312" w:eastAsia="仿宋_GB2312" w:cs="DengXian-Regular"/>
          <w:sz w:val="32"/>
          <w:szCs w:val="32"/>
        </w:rPr>
      </w:pPr>
    </w:p>
    <w:p w14:paraId="068E28B3">
      <w:pPr>
        <w:adjustRightInd w:val="0"/>
        <w:snapToGrid w:val="0"/>
        <w:spacing w:after="0" w:line="580" w:lineRule="exact"/>
        <w:ind w:firstLine="1920" w:firstLineChars="600"/>
        <w:rPr>
          <w:rFonts w:ascii="仿宋_GB2312" w:eastAsia="仿宋_GB2312" w:cs="DengXian-Regular"/>
          <w:sz w:val="32"/>
          <w:szCs w:val="32"/>
        </w:rPr>
      </w:pPr>
    </w:p>
    <w:p w14:paraId="63C0F1BF">
      <w:pPr>
        <w:adjustRightInd w:val="0"/>
        <w:snapToGrid w:val="0"/>
        <w:spacing w:after="0" w:line="580" w:lineRule="exact"/>
        <w:ind w:firstLine="1920" w:firstLineChars="600"/>
        <w:rPr>
          <w:rFonts w:ascii="仿宋_GB2312" w:eastAsia="仿宋_GB2312" w:cs="DengXian-Regular"/>
          <w:sz w:val="32"/>
          <w:szCs w:val="32"/>
        </w:rPr>
      </w:pPr>
    </w:p>
    <w:p w14:paraId="7A4B41D6">
      <w:pPr>
        <w:adjustRightInd w:val="0"/>
        <w:snapToGrid w:val="0"/>
        <w:spacing w:after="0" w:line="580" w:lineRule="exact"/>
        <w:ind w:firstLine="1920" w:firstLineChars="600"/>
        <w:rPr>
          <w:rFonts w:ascii="仿宋_GB2312" w:eastAsia="仿宋_GB2312" w:cs="DengXian-Regular"/>
          <w:sz w:val="32"/>
          <w:szCs w:val="32"/>
        </w:rPr>
      </w:pPr>
    </w:p>
    <w:p w14:paraId="1255204E">
      <w:pPr>
        <w:pStyle w:val="3"/>
        <w:spacing w:before="0" w:after="0" w:line="580" w:lineRule="exact"/>
        <w:ind w:firstLine="643" w:firstLineChars="200"/>
        <w:rPr>
          <w:rFonts w:ascii="黑体" w:eastAsia="黑体"/>
        </w:rPr>
      </w:pPr>
    </w:p>
    <w:p w14:paraId="4524BD65">
      <w:pPr>
        <w:pStyle w:val="3"/>
        <w:spacing w:before="0" w:after="0" w:line="580" w:lineRule="exact"/>
        <w:ind w:firstLine="643" w:firstLineChars="200"/>
        <w:rPr>
          <w:rFonts w:ascii="黑体" w:eastAsia="黑体"/>
        </w:rPr>
      </w:pPr>
    </w:p>
    <w:p w14:paraId="027C8D9F">
      <w:pPr>
        <w:pStyle w:val="3"/>
        <w:spacing w:before="0" w:after="0" w:line="580" w:lineRule="exact"/>
        <w:ind w:firstLine="643" w:firstLineChars="200"/>
        <w:rPr>
          <w:rFonts w:ascii="黑体" w:eastAsia="黑体"/>
        </w:rPr>
      </w:pPr>
    </w:p>
    <w:p w14:paraId="4685E510">
      <w:pPr>
        <w:pStyle w:val="3"/>
        <w:spacing w:before="0" w:after="0" w:line="580" w:lineRule="exact"/>
        <w:ind w:firstLine="643" w:firstLineChars="200"/>
        <w:rPr>
          <w:rFonts w:ascii="黑体" w:eastAsia="黑体"/>
          <w:b w:val="0"/>
          <w:bCs w:val="0"/>
        </w:rPr>
      </w:pPr>
      <w:r>
        <w:pict>
          <v:shape id="_x0000_s1077" o:spid="_x0000_s1077" o:spt="202" type="#_x0000_t202" style="position:absolute;left:0pt;margin-left:127.4pt;margin-top:6pt;height:31.85pt;width:194.1pt;z-index:251686912;mso-width-relative:page;mso-height-relative:page;"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on="t" focussize="0,0"/>
            <v:stroke on="f" weight="0.5pt" joinstyle="miter"/>
            <v:imagedata o:title=""/>
            <o:lock v:ext="edit"/>
            <v:textbox>
              <w:txbxContent>
                <w:p w14:paraId="3BD0F667">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1C4BD972">
                  <w:pPr>
                    <w:rPr>
                      <w:sz w:val="20"/>
                      <w:szCs w:val="22"/>
                    </w:rPr>
                  </w:pPr>
                </w:p>
              </w:txbxContent>
            </v:textbox>
          </v:shape>
        </w:pict>
      </w:r>
    </w:p>
    <w:p w14:paraId="4D9DC42C">
      <w:pPr>
        <w:pStyle w:val="3"/>
        <w:spacing w:before="0" w:after="0" w:line="580" w:lineRule="exact"/>
        <w:rPr>
          <w:rFonts w:ascii="黑体" w:eastAsia="黑体"/>
          <w:b w:val="0"/>
          <w:bCs w:val="0"/>
        </w:rPr>
      </w:pPr>
    </w:p>
    <w:p w14:paraId="3D10BB75">
      <w:pPr>
        <w:pStyle w:val="3"/>
        <w:spacing w:before="0" w:after="0" w:line="580" w:lineRule="exact"/>
        <w:rPr>
          <w:rFonts w:ascii="黑体" w:eastAsia="黑体"/>
          <w:b w:val="0"/>
          <w:bCs w:val="0"/>
        </w:rPr>
      </w:pPr>
      <w:r>
        <w:rPr>
          <w:rFonts w:hint="eastAsia" w:ascii="黑体" w:eastAsia="黑体"/>
          <w:b w:val="0"/>
          <w:bCs w:val="0"/>
        </w:rPr>
        <w:t>三、支出决算情况说明</w:t>
      </w:r>
    </w:p>
    <w:p w14:paraId="7EE5DA6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万元，其中：基本支出</w:t>
      </w:r>
      <w:r>
        <w:rPr>
          <w:rFonts w:hint="eastAsia" w:ascii="仿宋_GB2312" w:cs="DengXian-Regular" w:eastAsiaTheme="minorEastAsia"/>
          <w:sz w:val="32"/>
          <w:szCs w:val="32"/>
        </w:rPr>
        <w:t>76.40</w:t>
      </w:r>
      <w:r>
        <w:rPr>
          <w:rFonts w:hint="eastAsia" w:ascii="仿宋_GB2312" w:eastAsia="仿宋_GB2312" w:cs="DengXian-Regular"/>
          <w:sz w:val="32"/>
          <w:szCs w:val="32"/>
        </w:rPr>
        <w:t>万元，占</w:t>
      </w:r>
      <w:r>
        <w:rPr>
          <w:rFonts w:hint="eastAsia" w:ascii="仿宋_GB2312" w:cs="DengXian-Regular" w:eastAsiaTheme="minorEastAsia"/>
          <w:sz w:val="32"/>
          <w:szCs w:val="32"/>
        </w:rPr>
        <w:t>11.15</w:t>
      </w:r>
      <w:r>
        <w:rPr>
          <w:rFonts w:hint="eastAsia" w:ascii="仿宋_GB2312" w:eastAsia="仿宋_GB2312" w:cs="DengXian-Regular"/>
          <w:sz w:val="32"/>
          <w:szCs w:val="32"/>
        </w:rPr>
        <w:t>%；项目支出</w:t>
      </w:r>
      <w:r>
        <w:rPr>
          <w:rFonts w:hint="eastAsia" w:ascii="仿宋_GB2312" w:cs="DengXian-Regular" w:eastAsiaTheme="minorEastAsia"/>
          <w:sz w:val="32"/>
          <w:szCs w:val="32"/>
        </w:rPr>
        <w:t>608.7</w:t>
      </w:r>
      <w:r>
        <w:rPr>
          <w:rFonts w:hint="eastAsia" w:ascii="宋体" w:hAnsi="宋体" w:cs="宋体"/>
          <w:sz w:val="32"/>
          <w:szCs w:val="32"/>
        </w:rPr>
        <w:t>9</w:t>
      </w:r>
      <w:r>
        <w:rPr>
          <w:rFonts w:hint="eastAsia" w:ascii="仿宋_GB2312" w:eastAsia="仿宋_GB2312" w:cs="DengXian-Regular"/>
          <w:sz w:val="32"/>
          <w:szCs w:val="32"/>
        </w:rPr>
        <w:t>万元，占</w:t>
      </w:r>
      <w:r>
        <w:rPr>
          <w:rFonts w:hint="eastAsia" w:ascii="仿宋_GB2312" w:cs="DengXian-Regular" w:eastAsiaTheme="minorEastAsia"/>
          <w:sz w:val="32"/>
          <w:szCs w:val="32"/>
        </w:rPr>
        <w:t>88.85</w:t>
      </w:r>
      <w:r>
        <w:rPr>
          <w:rFonts w:hint="eastAsia" w:ascii="仿宋_GB2312" w:eastAsia="仿宋_GB2312" w:cs="DengXian-Regular"/>
          <w:sz w:val="32"/>
          <w:szCs w:val="32"/>
        </w:rPr>
        <w:t>%；经营支出</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%。如图所示：</w:t>
      </w:r>
    </w:p>
    <w:p w14:paraId="51B6D63C">
      <w:pPr>
        <w:adjustRightInd w:val="0"/>
        <w:snapToGrid w:val="0"/>
        <w:spacing w:after="0" w:line="580" w:lineRule="exact"/>
        <w:ind w:firstLine="1920" w:firstLineChars="6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93056" behindDoc="0" locked="0" layoutInCell="1" allowOverlap="1">
            <wp:simplePos x="0" y="0"/>
            <wp:positionH relativeFrom="column">
              <wp:posOffset>687070</wp:posOffset>
            </wp:positionH>
            <wp:positionV relativeFrom="paragraph">
              <wp:posOffset>118745</wp:posOffset>
            </wp:positionV>
            <wp:extent cx="4413250" cy="2333625"/>
            <wp:effectExtent l="19050" t="0" r="6350" b="0"/>
            <wp:wrapNone/>
            <wp:docPr id="11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2AC8FB60">
      <w:pPr>
        <w:adjustRightInd w:val="0"/>
        <w:snapToGrid w:val="0"/>
        <w:spacing w:after="0" w:line="580" w:lineRule="exact"/>
        <w:ind w:firstLine="2640" w:firstLineChars="600"/>
        <w:rPr>
          <w:rFonts w:ascii="仿宋_GB2312" w:eastAsia="仿宋_GB2312" w:cs="DengXian-Regular"/>
          <w:sz w:val="32"/>
          <w:szCs w:val="32"/>
        </w:rPr>
      </w:pPr>
      <w:r>
        <w:rPr>
          <w:sz w:val="44"/>
        </w:rPr>
        <w:pict>
          <v:group id="_x0000_s1070" o:spid="_x0000_s1070" o:spt="203" style="position:absolute;left:0pt;margin-left:-0.55pt;margin-top:29.3pt;height:43.95pt;width:301.85pt;mso-position-horizontal-relative:page;mso-position-vertical-relative:page;z-index:25167462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CLWTc4QAMAADwJAAAOAAAAAAAAAAEAIAAAACoBAABkcnMvZTJvRG9jLnhtbFBLBQYAAAAA&#10;BgAGAFkBAADcBgAAAAA=&#10;">
            <o:lock v:ext="edit"/>
            <v:rect id="矩形 13" o:spid="_x0000_s1072"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14:paraId="4A78B5C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28363BD7">
                    <w:pPr>
                      <w:jc w:val="center"/>
                    </w:pPr>
                  </w:p>
                </w:txbxContent>
              </v:textbox>
            </v:rect>
            <w10:anchorlock/>
          </v:group>
        </w:pict>
      </w:r>
    </w:p>
    <w:p w14:paraId="0A191468">
      <w:pPr>
        <w:adjustRightInd w:val="0"/>
        <w:snapToGrid w:val="0"/>
        <w:spacing w:after="0" w:line="580" w:lineRule="exact"/>
        <w:ind w:firstLine="1920" w:firstLineChars="600"/>
        <w:rPr>
          <w:rFonts w:ascii="仿宋_GB2312" w:eastAsia="仿宋_GB2312" w:cs="DengXian-Regular"/>
          <w:sz w:val="32"/>
          <w:szCs w:val="32"/>
        </w:rPr>
      </w:pPr>
    </w:p>
    <w:p w14:paraId="102F3407">
      <w:pPr>
        <w:pStyle w:val="3"/>
        <w:spacing w:before="0" w:after="0" w:line="580" w:lineRule="exact"/>
        <w:ind w:firstLine="643" w:firstLineChars="200"/>
        <w:rPr>
          <w:rFonts w:ascii="黑体" w:eastAsia="黑体"/>
        </w:rPr>
      </w:pPr>
    </w:p>
    <w:p w14:paraId="468D782B">
      <w:pPr>
        <w:pStyle w:val="3"/>
        <w:spacing w:before="0" w:after="0" w:line="580" w:lineRule="exact"/>
        <w:ind w:firstLine="643" w:firstLineChars="200"/>
        <w:rPr>
          <w:rFonts w:ascii="黑体" w:eastAsia="黑体"/>
        </w:rPr>
      </w:pPr>
    </w:p>
    <w:p w14:paraId="2750EE8F">
      <w:pPr>
        <w:pStyle w:val="3"/>
        <w:spacing w:before="0" w:after="0" w:line="580" w:lineRule="exact"/>
        <w:ind w:firstLine="643" w:firstLineChars="200"/>
        <w:rPr>
          <w:rFonts w:ascii="黑体" w:eastAsia="黑体"/>
        </w:rPr>
      </w:pPr>
    </w:p>
    <w:p w14:paraId="691ADDEB">
      <w:pPr>
        <w:pStyle w:val="3"/>
        <w:spacing w:before="0" w:after="0" w:line="580" w:lineRule="exact"/>
        <w:ind w:firstLine="643" w:firstLineChars="200"/>
        <w:rPr>
          <w:rFonts w:ascii="黑体" w:eastAsia="黑体"/>
          <w:b w:val="0"/>
          <w:bCs w:val="0"/>
        </w:rPr>
      </w:pPr>
      <w:r>
        <w:pict>
          <v:shape id="_x0000_s1074" o:spid="_x0000_s1074" o:spt="202" type="#_x0000_t202" style="position:absolute;left:0pt;margin-left:85.3pt;margin-top:21.35pt;height:35.25pt;width:248.7pt;z-index:-251628544;mso-width-relative:page;mso-height-relative:page;"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on="t" focussize="0,0"/>
            <v:stroke on="f" weight="0.5pt" joinstyle="miter"/>
            <v:imagedata o:title=""/>
            <o:lock v:ext="edit"/>
            <v:textbox>
              <w:txbxContent>
                <w:p w14:paraId="5D0DED1B">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1C38FF3A">
                  <w:pPr>
                    <w:rPr>
                      <w:sz w:val="20"/>
                      <w:szCs w:val="22"/>
                    </w:rPr>
                  </w:pPr>
                </w:p>
              </w:txbxContent>
            </v:textbox>
          </v:shape>
        </w:pict>
      </w:r>
    </w:p>
    <w:p w14:paraId="5A5C0548">
      <w:pPr>
        <w:pStyle w:val="3"/>
        <w:spacing w:before="0" w:after="0" w:line="580" w:lineRule="exact"/>
        <w:ind w:firstLine="640" w:firstLineChars="200"/>
        <w:rPr>
          <w:rFonts w:ascii="黑体" w:eastAsia="黑体"/>
          <w:b w:val="0"/>
          <w:bCs w:val="0"/>
        </w:rPr>
      </w:pPr>
    </w:p>
    <w:p w14:paraId="12D875B7">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5263A98C">
      <w:pPr>
        <w:spacing w:after="0" w:line="580" w:lineRule="exact"/>
        <w:ind w:firstLine="643" w:firstLineChars="200"/>
        <w:rPr>
          <w:rFonts w:ascii="楷体_GB2312" w:cs="DengXian-Bold" w:eastAsiaTheme="minorEastAsia"/>
          <w:b/>
          <w:bCs/>
          <w:sz w:val="32"/>
          <w:szCs w:val="32"/>
        </w:rPr>
      </w:pPr>
      <w:r>
        <w:rPr>
          <w:rFonts w:hint="eastAsia" w:ascii="楷体_GB2312" w:eastAsia="楷体_GB2312" w:cs="DengXian-Bold"/>
          <w:b/>
          <w:bCs/>
          <w:sz w:val="32"/>
          <w:szCs w:val="32"/>
        </w:rPr>
        <w:t>（一）财政拨款收支与2017 年度决算对比情况</w:t>
      </w:r>
    </w:p>
    <w:p w14:paraId="2540FAB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万元,比2017年度减少</w:t>
      </w:r>
      <w:r>
        <w:rPr>
          <w:rFonts w:hint="eastAsia" w:ascii="仿宋_GB2312" w:cs="DengXian-Regular" w:eastAsiaTheme="minorEastAsia"/>
          <w:sz w:val="32"/>
          <w:szCs w:val="32"/>
        </w:rPr>
        <w:t>2783.6</w:t>
      </w:r>
      <w:r>
        <w:rPr>
          <w:rFonts w:hint="eastAsia" w:ascii="宋体" w:hAnsi="宋体" w:cs="宋体"/>
          <w:sz w:val="32"/>
          <w:szCs w:val="32"/>
        </w:rPr>
        <w:t>9</w:t>
      </w:r>
      <w:r>
        <w:rPr>
          <w:rFonts w:hint="eastAsia" w:ascii="仿宋_GB2312" w:eastAsia="仿宋_GB2312" w:cs="DengXian-Regular"/>
          <w:sz w:val="32"/>
          <w:szCs w:val="32"/>
        </w:rPr>
        <w:t>万元，降低</w:t>
      </w:r>
      <w:r>
        <w:rPr>
          <w:rFonts w:hint="eastAsia" w:ascii="仿宋_GB2312" w:cs="DengXian-Regular" w:eastAsiaTheme="minorEastAsia"/>
          <w:sz w:val="32"/>
          <w:szCs w:val="32"/>
        </w:rPr>
        <w:t>70.82</w:t>
      </w:r>
      <w:r>
        <w:rPr>
          <w:rFonts w:hint="eastAsia" w:ascii="仿宋_GB2312" w:eastAsia="仿宋_GB2312" w:cs="DengXian-Regular"/>
          <w:sz w:val="32"/>
          <w:szCs w:val="32"/>
        </w:rPr>
        <w:t>%，主要是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；本年支出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万元，增加</w:t>
      </w:r>
      <w:r>
        <w:rPr>
          <w:rFonts w:hint="eastAsia" w:ascii="仿宋_GB2312" w:cs="DengXian-Regular" w:eastAsiaTheme="minorEastAsia"/>
          <w:sz w:val="32"/>
          <w:szCs w:val="32"/>
        </w:rPr>
        <w:t>485.88</w:t>
      </w:r>
      <w:r>
        <w:rPr>
          <w:rFonts w:hint="eastAsia" w:ascii="仿宋_GB2312" w:eastAsia="仿宋_GB2312" w:cs="DengXian-Regular"/>
          <w:sz w:val="32"/>
          <w:szCs w:val="32"/>
        </w:rPr>
        <w:t>万元，增长</w:t>
      </w:r>
      <w:r>
        <w:rPr>
          <w:rFonts w:hint="eastAsia" w:ascii="仿宋_GB2312" w:cs="DengXian-Regular" w:eastAsiaTheme="minorEastAsia"/>
          <w:sz w:val="32"/>
          <w:szCs w:val="32"/>
        </w:rPr>
        <w:t>243.78</w:t>
      </w:r>
      <w:r>
        <w:rPr>
          <w:rFonts w:hint="eastAsia" w:ascii="仿宋_GB2312" w:eastAsia="仿宋_GB2312" w:cs="DengXian-Regular"/>
          <w:sz w:val="32"/>
          <w:szCs w:val="32"/>
        </w:rPr>
        <w:t>%，主要是</w:t>
      </w:r>
      <w:r>
        <w:rPr>
          <w:rFonts w:hint="eastAsia" w:ascii="仿宋_GB2312" w:cs="DengXian-Regular" w:eastAsiaTheme="minorEastAsia"/>
          <w:sz w:val="32"/>
          <w:szCs w:val="32"/>
        </w:rPr>
        <w:t>棚户区改造项目支出增加</w:t>
      </w:r>
      <w:r>
        <w:rPr>
          <w:rFonts w:hint="eastAsia" w:ascii="仿宋_GB2312" w:eastAsia="仿宋_GB2312" w:cs="DengXian-Regular"/>
          <w:sz w:val="32"/>
          <w:szCs w:val="32"/>
        </w:rPr>
        <w:t>。</w:t>
      </w:r>
      <w:r>
        <w:rPr>
          <w:sz w:val="44"/>
        </w:rPr>
        <w:pict>
          <v:group id="_x0000_s1067" o:spid="_x0000_s1067" o:spt="203" style="position:absolute;left:0pt;margin-left:-0.55pt;margin-top:29.3pt;height:43.95pt;width:301.85pt;mso-position-horizontal-relative:page;mso-position-vertical-relative:page;z-index:25167564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BJ+ys7bAAAACwEAAA8AAAAAAAAAAQAgAAAAIgAAAGRycy9kb3ducmV2Lnht&#10;bFBLAQIUABQAAAAIAIdO4kDYU0zBTAMAADwJAAAOAAAAAAAAAAEAIAAAACoBAABkcnMvZTJvRG9j&#10;LnhtbFBLBQYAAAAABgAGAFkBAADoBgAAAAA=&#10;">
            <o:lock v:ext="edit"/>
            <v:rect id="矩形 13" o:spid="_x0000_s1069" o:spt="1" style="position:absolute;left:4551;top:52615;height:1175;width:8546;v-text-anchor:middle;" fillcolor="#D9D9D9" filled="t" stroked="f" coordsize="21600,21600" o:gfxdata="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6hXi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68" o:spt="1" style="position:absolute;left:4577;top:52890;height:1123;width:8324;v-text-anchor:middle;" fillcolor="#AD002D" filled="t" stroked="t" coordsize="21600,21600" o:gfxdata="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lNtiW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483DF80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E568C88">
                    <w:pPr>
                      <w:jc w:val="center"/>
                    </w:pPr>
                  </w:p>
                </w:txbxContent>
              </v:textbox>
            </v:rect>
            <w10:anchorlock/>
          </v:group>
        </w:pict>
      </w:r>
    </w:p>
    <w:p w14:paraId="4C868E17">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万元,比2017年度减少</w:t>
      </w:r>
      <w:r>
        <w:rPr>
          <w:rFonts w:hint="eastAsia" w:ascii="仿宋_GB2312" w:cs="DengXian-Regular" w:eastAsiaTheme="minorEastAsia"/>
          <w:sz w:val="32"/>
          <w:szCs w:val="32"/>
        </w:rPr>
        <w:t>2783.6</w:t>
      </w:r>
      <w:r>
        <w:rPr>
          <w:rFonts w:hint="eastAsia" w:ascii="宋体" w:hAnsi="宋体" w:cs="宋体"/>
          <w:sz w:val="32"/>
          <w:szCs w:val="32"/>
        </w:rPr>
        <w:t>9</w:t>
      </w:r>
      <w:r>
        <w:rPr>
          <w:rFonts w:hint="eastAsia" w:ascii="仿宋_GB2312" w:eastAsia="仿宋_GB2312" w:cs="DengXian-Regular"/>
          <w:sz w:val="32"/>
          <w:szCs w:val="32"/>
        </w:rPr>
        <w:t>万元，降低</w:t>
      </w:r>
      <w:r>
        <w:rPr>
          <w:rFonts w:hint="eastAsia" w:ascii="仿宋_GB2312" w:cs="DengXian-Regular" w:eastAsiaTheme="minorEastAsia"/>
          <w:sz w:val="32"/>
          <w:szCs w:val="32"/>
        </w:rPr>
        <w:t>70.82</w:t>
      </w:r>
      <w:r>
        <w:rPr>
          <w:rFonts w:hint="eastAsia" w:ascii="仿宋_GB2312" w:eastAsia="仿宋_GB2312" w:cs="DengXian-Regular"/>
          <w:sz w:val="32"/>
          <w:szCs w:val="32"/>
        </w:rPr>
        <w:t>%，主要是</w:t>
      </w:r>
      <w:r>
        <w:rPr>
          <w:rFonts w:hint="eastAsia" w:ascii="仿宋_GB2312" w:cs="DengXian-Regular" w:eastAsiaTheme="minorEastAsia"/>
          <w:sz w:val="32"/>
          <w:szCs w:val="32"/>
        </w:rPr>
        <w:t>棚户区改造项目减少</w:t>
      </w:r>
      <w:r>
        <w:rPr>
          <w:rFonts w:hint="eastAsia" w:ascii="仿宋_GB2312" w:eastAsia="仿宋_GB2312" w:cs="DengXian-Regular"/>
          <w:sz w:val="32"/>
          <w:szCs w:val="32"/>
        </w:rPr>
        <w:t>；本年支出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万元，增加</w:t>
      </w:r>
      <w:r>
        <w:rPr>
          <w:rFonts w:hint="eastAsia" w:ascii="仿宋_GB2312" w:cs="DengXian-Regular" w:eastAsiaTheme="minorEastAsia"/>
          <w:sz w:val="32"/>
          <w:szCs w:val="32"/>
        </w:rPr>
        <w:t>485.88</w:t>
      </w:r>
      <w:r>
        <w:rPr>
          <w:rFonts w:hint="eastAsia" w:ascii="仿宋_GB2312" w:eastAsia="仿宋_GB2312" w:cs="DengXian-Regular"/>
          <w:sz w:val="32"/>
          <w:szCs w:val="32"/>
        </w:rPr>
        <w:t>万元，增长</w:t>
      </w:r>
      <w:r>
        <w:rPr>
          <w:rFonts w:hint="eastAsia" w:ascii="仿宋_GB2312" w:cs="DengXian-Regular" w:eastAsiaTheme="minorEastAsia"/>
          <w:sz w:val="32"/>
          <w:szCs w:val="32"/>
        </w:rPr>
        <w:t>243.78</w:t>
      </w:r>
      <w:r>
        <w:rPr>
          <w:rFonts w:hint="eastAsia" w:ascii="仿宋_GB2312" w:eastAsia="仿宋_GB2312" w:cs="DengXian-Regular"/>
          <w:sz w:val="32"/>
          <w:szCs w:val="32"/>
        </w:rPr>
        <w:t>%，主要是</w:t>
      </w:r>
      <w:r>
        <w:rPr>
          <w:rFonts w:hint="eastAsia" w:ascii="仿宋_GB2312" w:cs="DengXian-Regular" w:eastAsiaTheme="minorEastAsia"/>
          <w:sz w:val="32"/>
          <w:szCs w:val="32"/>
        </w:rPr>
        <w:t>棚户区改造项目支出增加</w:t>
      </w:r>
      <w:r>
        <w:rPr>
          <w:rFonts w:hint="eastAsia" w:ascii="仿宋_GB2312" w:eastAsia="仿宋_GB2312" w:cs="DengXian-Regular"/>
          <w:sz w:val="32"/>
          <w:szCs w:val="32"/>
        </w:rPr>
        <w:t>。</w:t>
      </w:r>
    </w:p>
    <w:p w14:paraId="53AE4204">
      <w:pPr>
        <w:adjustRightInd w:val="0"/>
        <w:snapToGrid w:val="0"/>
        <w:spacing w:after="0" w:line="580" w:lineRule="exact"/>
        <w:ind w:firstLine="640" w:firstLineChars="200"/>
        <w:rPr>
          <w:rFonts w:hint="eastAsia" w:ascii="仿宋_GB2312" w:cs="DengXian-Regular" w:eastAsiaTheme="minorEastAsia"/>
          <w:sz w:val="32"/>
          <w:szCs w:val="32"/>
        </w:rPr>
      </w:pPr>
    </w:p>
    <w:p w14:paraId="2CEAFF6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万元，比上年减少</w:t>
      </w:r>
      <w:r>
        <w:rPr>
          <w:rFonts w:hint="eastAsia" w:ascii="仿宋_GB2312" w:cs="DengXian-Regular" w:eastAsiaTheme="minorEastAsia"/>
          <w:sz w:val="32"/>
          <w:szCs w:val="32"/>
        </w:rPr>
        <w:t>2783.6</w:t>
      </w:r>
      <w:r>
        <w:rPr>
          <w:rFonts w:hint="eastAsia" w:ascii="宋体" w:hAnsi="宋体" w:cs="宋体"/>
          <w:sz w:val="32"/>
          <w:szCs w:val="32"/>
        </w:rPr>
        <w:t>9</w:t>
      </w:r>
      <w:r>
        <w:rPr>
          <w:rFonts w:hint="eastAsia" w:ascii="仿宋_GB2312" w:eastAsia="仿宋_GB2312" w:cs="DengXian-Regular"/>
          <w:sz w:val="32"/>
          <w:szCs w:val="32"/>
        </w:rPr>
        <w:t>万元；主要是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；本年支出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万元，比上年增加</w:t>
      </w:r>
      <w:r>
        <w:rPr>
          <w:rFonts w:hint="eastAsia" w:ascii="仿宋_GB2312" w:cs="DengXian-Regular" w:eastAsiaTheme="minorEastAsia"/>
          <w:sz w:val="32"/>
          <w:szCs w:val="32"/>
        </w:rPr>
        <w:t>485.88</w:t>
      </w:r>
      <w:r>
        <w:rPr>
          <w:rFonts w:hint="eastAsia" w:ascii="仿宋_GB2312" w:eastAsia="仿宋_GB2312" w:cs="DengXian-Regular"/>
          <w:sz w:val="32"/>
          <w:szCs w:val="32"/>
        </w:rPr>
        <w:t>万元，增长</w:t>
      </w:r>
      <w:r>
        <w:rPr>
          <w:rFonts w:hint="eastAsia" w:ascii="仿宋_GB2312" w:cs="DengXian-Regular" w:eastAsiaTheme="minorEastAsia"/>
          <w:sz w:val="32"/>
          <w:szCs w:val="32"/>
        </w:rPr>
        <w:t>243.78</w:t>
      </w:r>
      <w:r>
        <w:rPr>
          <w:rFonts w:hint="eastAsia" w:ascii="仿宋_GB2312" w:eastAsia="仿宋_GB2312" w:cs="DengXian-Regular"/>
          <w:sz w:val="32"/>
          <w:szCs w:val="32"/>
        </w:rPr>
        <w:t>%，主要是</w:t>
      </w:r>
      <w:r>
        <w:rPr>
          <w:rFonts w:hint="eastAsia" w:ascii="仿宋_GB2312" w:cs="DengXian-Regular" w:eastAsiaTheme="minorEastAsia"/>
          <w:sz w:val="32"/>
          <w:szCs w:val="32"/>
        </w:rPr>
        <w:t>棚户区改造项目支出增加</w:t>
      </w:r>
      <w:r>
        <w:rPr>
          <w:rFonts w:hint="eastAsia" w:ascii="仿宋_GB2312" w:eastAsia="仿宋_GB2312" w:cs="DengXian-Regular"/>
          <w:sz w:val="32"/>
          <w:szCs w:val="32"/>
        </w:rPr>
        <w:t>。政府性基金预算财政拨款本年收入</w:t>
      </w:r>
      <w:r>
        <w:rPr>
          <w:rFonts w:hint="eastAsia" w:ascii="仿宋_GB2312" w:cs="DengXian-Regular" w:eastAsiaTheme="minorEastAsia"/>
          <w:sz w:val="32"/>
          <w:szCs w:val="32"/>
        </w:rPr>
        <w:t>0</w:t>
      </w:r>
      <w:r>
        <w:rPr>
          <w:rFonts w:hint="eastAsia" w:ascii="仿宋_GB2312" w:eastAsia="仿宋_GB2312" w:cs="DengXian-Regular"/>
          <w:sz w:val="32"/>
          <w:szCs w:val="32"/>
        </w:rPr>
        <w:t>万元，比上年增加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%，主要原因是</w:t>
      </w:r>
      <w:r>
        <w:rPr>
          <w:rFonts w:hint="eastAsia" w:ascii="仿宋_GB2312" w:cs="DengXian-Regular" w:eastAsiaTheme="minorEastAsia"/>
          <w:sz w:val="32"/>
          <w:szCs w:val="32"/>
        </w:rPr>
        <w:t>本单位无政府性基金</w:t>
      </w:r>
      <w:r>
        <w:rPr>
          <w:rFonts w:hint="eastAsia" w:ascii="仿宋_GB2312" w:eastAsia="仿宋_GB2312" w:cs="DengXian-Regular"/>
          <w:sz w:val="32"/>
          <w:szCs w:val="32"/>
        </w:rPr>
        <w:t>；本年支出</w:t>
      </w:r>
      <w:r>
        <w:rPr>
          <w:rFonts w:hint="eastAsia" w:ascii="仿宋_GB2312" w:cs="DengXian-Regular" w:eastAsiaTheme="minorEastAsia"/>
          <w:sz w:val="32"/>
          <w:szCs w:val="32"/>
        </w:rPr>
        <w:t>0</w:t>
      </w:r>
      <w:r>
        <w:rPr>
          <w:rFonts w:hint="eastAsia" w:ascii="仿宋_GB2312" w:eastAsia="仿宋_GB2312" w:cs="DengXian-Regular"/>
          <w:sz w:val="32"/>
          <w:szCs w:val="32"/>
        </w:rPr>
        <w:t>万元，比上年增加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本单位无政府性基金</w:t>
      </w:r>
      <w:r>
        <w:rPr>
          <w:rFonts w:hint="eastAsia" w:ascii="仿宋_GB2312" w:eastAsia="仿宋_GB2312" w:cs="DengXian-Regular"/>
          <w:sz w:val="32"/>
          <w:szCs w:val="32"/>
        </w:rPr>
        <w:t>。</w:t>
      </w:r>
    </w:p>
    <w:p w14:paraId="24344DD2">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95104" behindDoc="0" locked="0" layoutInCell="1" allowOverlap="1">
            <wp:simplePos x="0" y="0"/>
            <wp:positionH relativeFrom="column">
              <wp:posOffset>620395</wp:posOffset>
            </wp:positionH>
            <wp:positionV relativeFrom="paragraph">
              <wp:posOffset>188595</wp:posOffset>
            </wp:positionV>
            <wp:extent cx="4067175" cy="2381250"/>
            <wp:effectExtent l="19050" t="0" r="9525" b="0"/>
            <wp:wrapNone/>
            <wp:docPr id="116" name="图表 1"/>
            <wp:cNvGraphicFramePr/>
            <a:graphic xmlns:a="http://schemas.openxmlformats.org/drawingml/2006/main">
              <a:graphicData uri="http://schemas.openxmlformats.org/drawingml/2006/picture">
                <pic:pic xmlns:pic="http://schemas.openxmlformats.org/drawingml/2006/picture">
                  <pic:nvPicPr>
                    <pic:cNvPr id="116" name="图表 1"/>
                    <pic:cNvPicPr>
                      <a:picLocks noChangeArrowheads="1"/>
                    </pic:cNvPicPr>
                  </pic:nvPicPr>
                  <pic:blipFill>
                    <a:blip r:embed="rId10" cstate="print"/>
                    <a:srcRect/>
                    <a:stretch>
                      <a:fillRect/>
                    </a:stretch>
                  </pic:blipFill>
                  <pic:spPr>
                    <a:xfrm>
                      <a:off x="0" y="0"/>
                      <a:ext cx="4067175" cy="2381250"/>
                    </a:xfrm>
                    <a:prstGeom prst="rect">
                      <a:avLst/>
                    </a:prstGeom>
                    <a:noFill/>
                    <a:ln w="9525">
                      <a:noFill/>
                      <a:miter lim="800000"/>
                      <a:headEnd/>
                      <a:tailEnd/>
                    </a:ln>
                  </pic:spPr>
                </pic:pic>
              </a:graphicData>
            </a:graphic>
          </wp:anchor>
        </w:drawing>
      </w:r>
    </w:p>
    <w:p w14:paraId="2DEE0FF1">
      <w:pPr>
        <w:adjustRightInd w:val="0"/>
        <w:snapToGrid w:val="0"/>
        <w:spacing w:after="0" w:line="580" w:lineRule="exact"/>
        <w:ind w:firstLine="640" w:firstLineChars="200"/>
        <w:rPr>
          <w:rFonts w:ascii="仿宋_GB2312" w:eastAsia="仿宋_GB2312" w:cs="DengXian-Regular"/>
          <w:sz w:val="32"/>
          <w:szCs w:val="32"/>
        </w:rPr>
      </w:pPr>
    </w:p>
    <w:p w14:paraId="2E21D0F2">
      <w:pPr>
        <w:adjustRightInd w:val="0"/>
        <w:snapToGrid w:val="0"/>
        <w:spacing w:after="0" w:line="580" w:lineRule="exact"/>
        <w:ind w:firstLine="640" w:firstLineChars="200"/>
        <w:rPr>
          <w:rFonts w:ascii="仿宋_GB2312" w:eastAsia="仿宋_GB2312" w:cs="DengXian-Regular"/>
          <w:sz w:val="32"/>
          <w:szCs w:val="32"/>
        </w:rPr>
      </w:pPr>
    </w:p>
    <w:p w14:paraId="0F7B8BE2">
      <w:pPr>
        <w:adjustRightInd w:val="0"/>
        <w:snapToGrid w:val="0"/>
        <w:spacing w:after="0" w:line="580" w:lineRule="exact"/>
        <w:ind w:firstLine="640" w:firstLineChars="200"/>
        <w:rPr>
          <w:rFonts w:ascii="仿宋_GB2312" w:eastAsia="仿宋_GB2312" w:cs="DengXian-Regular"/>
          <w:sz w:val="32"/>
          <w:szCs w:val="32"/>
        </w:rPr>
      </w:pPr>
    </w:p>
    <w:p w14:paraId="2E5BDD9E">
      <w:pPr>
        <w:adjustRightInd w:val="0"/>
        <w:snapToGrid w:val="0"/>
        <w:spacing w:after="0" w:line="580" w:lineRule="exact"/>
        <w:ind w:firstLine="640" w:firstLineChars="200"/>
        <w:rPr>
          <w:rFonts w:ascii="仿宋_GB2312" w:eastAsia="仿宋_GB2312" w:cs="DengXian-Regular"/>
          <w:sz w:val="32"/>
          <w:szCs w:val="32"/>
        </w:rPr>
      </w:pPr>
    </w:p>
    <w:p w14:paraId="6131E368">
      <w:pPr>
        <w:adjustRightInd w:val="0"/>
        <w:snapToGrid w:val="0"/>
        <w:spacing w:after="0" w:line="580" w:lineRule="exact"/>
        <w:ind w:firstLine="640" w:firstLineChars="200"/>
        <w:rPr>
          <w:rFonts w:ascii="仿宋_GB2312" w:eastAsia="仿宋_GB2312" w:cs="DengXian-Regular"/>
          <w:sz w:val="32"/>
          <w:szCs w:val="32"/>
        </w:rPr>
      </w:pPr>
    </w:p>
    <w:p w14:paraId="492620D1">
      <w:pPr>
        <w:adjustRightInd w:val="0"/>
        <w:snapToGrid w:val="0"/>
        <w:spacing w:after="0" w:line="580" w:lineRule="exact"/>
        <w:ind w:firstLine="420" w:firstLineChars="200"/>
        <w:rPr>
          <w:rFonts w:ascii="仿宋_GB2312" w:eastAsia="仿宋_GB2312" w:cs="DengXian-Regular"/>
          <w:sz w:val="32"/>
          <w:szCs w:val="32"/>
        </w:rPr>
      </w:pPr>
      <w:r>
        <w:pict>
          <v:shape id="_x0000_s1065" o:spid="_x0000_s1065" o:spt="202" type="#_x0000_t202" style="position:absolute;left:0pt;margin-left:71.15pt;margin-top:23.6pt;height:38.25pt;width:331.1pt;z-index:-251627520;mso-width-relative:page;mso-height-relative:page;" fillcolor="#FFFFFF" filled="t"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on="t" focussize="0,0"/>
            <v:stroke on="f" weight="0.5pt" joinstyle="miter"/>
            <v:imagedata o:title=""/>
            <o:lock v:ext="edit"/>
            <v:textbox>
              <w:txbxContent>
                <w:p w14:paraId="4EB5D9E7">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17024A28">
                  <w:pPr>
                    <w:rPr>
                      <w:sz w:val="20"/>
                      <w:szCs w:val="22"/>
                    </w:rPr>
                  </w:pPr>
                </w:p>
              </w:txbxContent>
            </v:textbox>
          </v:shape>
        </w:pict>
      </w:r>
    </w:p>
    <w:p w14:paraId="7C486BA2">
      <w:pPr>
        <w:adjustRightInd w:val="0"/>
        <w:snapToGrid w:val="0"/>
        <w:spacing w:after="0" w:line="580" w:lineRule="exact"/>
        <w:ind w:firstLine="640" w:firstLineChars="200"/>
        <w:rPr>
          <w:rFonts w:ascii="仿宋_GB2312" w:eastAsia="仿宋_GB2312" w:cs="DengXian-Regular"/>
          <w:sz w:val="32"/>
          <w:szCs w:val="32"/>
        </w:rPr>
      </w:pPr>
    </w:p>
    <w:p w14:paraId="5E58617D">
      <w:pPr>
        <w:spacing w:after="0" w:line="580" w:lineRule="exact"/>
        <w:ind w:firstLine="643" w:firstLineChars="200"/>
        <w:rPr>
          <w:rFonts w:ascii="仿宋_GB2312" w:cs="DengXian-Bold" w:eastAsiaTheme="minorEastAsia"/>
          <w:b/>
          <w:bCs/>
          <w:sz w:val="32"/>
          <w:szCs w:val="32"/>
        </w:rPr>
      </w:pPr>
      <w:r>
        <w:rPr>
          <w:rFonts w:hint="eastAsia" w:ascii="楷体_GB2312" w:eastAsia="楷体_GB2312" w:cs="DengXian-Bold"/>
          <w:b/>
          <w:bCs/>
          <w:sz w:val="32"/>
          <w:szCs w:val="32"/>
        </w:rPr>
        <w:t>（二）财政拨款收支与年初预算数对比情况</w:t>
      </w:r>
    </w:p>
    <w:p w14:paraId="44FD7285">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本部门2018年度一般公共预算财政拨款收入</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万元，完成年初预算的</w:t>
      </w:r>
      <w:r>
        <w:rPr>
          <w:rFonts w:hint="eastAsia" w:ascii="仿宋_GB2312" w:cs="DengXian-Regular" w:eastAsiaTheme="minorEastAsia"/>
          <w:sz w:val="32"/>
          <w:szCs w:val="32"/>
        </w:rPr>
        <w:t>4</w:t>
      </w:r>
      <w:r>
        <w:rPr>
          <w:rFonts w:hint="eastAsia" w:ascii="宋体" w:hAnsi="宋体" w:cs="宋体"/>
          <w:sz w:val="32"/>
          <w:szCs w:val="32"/>
        </w:rPr>
        <w:t>92.18</w:t>
      </w:r>
      <w:r>
        <w:rPr>
          <w:rFonts w:hint="eastAsia" w:ascii="仿宋_GB2312" w:eastAsia="仿宋_GB2312" w:cs="DengXian-Regular"/>
          <w:sz w:val="32"/>
          <w:szCs w:val="32"/>
        </w:rPr>
        <w:t>%,比年初预算增加</w:t>
      </w:r>
      <w:r>
        <w:rPr>
          <w:rFonts w:hint="eastAsia" w:ascii="宋体" w:hAnsi="宋体" w:cs="宋体"/>
          <w:sz w:val="32"/>
          <w:szCs w:val="32"/>
        </w:rPr>
        <w:t>913.79</w:t>
      </w:r>
      <w:r>
        <w:rPr>
          <w:rFonts w:hint="eastAsia" w:ascii="仿宋_GB2312" w:eastAsia="仿宋_GB2312" w:cs="DengXian-Regular"/>
          <w:sz w:val="32"/>
          <w:szCs w:val="32"/>
        </w:rPr>
        <w:t>万元，决算数大于预算数主要原因是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；本年支出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万元，完成年初预算的</w:t>
      </w:r>
      <w:r>
        <w:rPr>
          <w:rFonts w:hint="eastAsia" w:ascii="仿宋_GB2312" w:cs="DengXian-Regular" w:eastAsiaTheme="minorEastAsia"/>
          <w:sz w:val="32"/>
          <w:szCs w:val="32"/>
        </w:rPr>
        <w:t>2</w:t>
      </w:r>
      <w:r>
        <w:rPr>
          <w:rFonts w:hint="eastAsia" w:ascii="宋体" w:hAnsi="宋体" w:cs="宋体"/>
          <w:sz w:val="32"/>
          <w:szCs w:val="32"/>
        </w:rPr>
        <w:t>94.07</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452.1</w:t>
      </w:r>
      <w:r>
        <w:rPr>
          <w:rFonts w:hint="eastAsia" w:ascii="宋体" w:hAnsi="宋体" w:cs="宋体"/>
          <w:sz w:val="32"/>
          <w:szCs w:val="32"/>
        </w:rPr>
        <w:t>9</w:t>
      </w:r>
      <w:r>
        <w:rPr>
          <w:rFonts w:hint="eastAsia" w:ascii="仿宋_GB2312" w:eastAsia="仿宋_GB2312" w:cs="DengXian-Regular"/>
          <w:sz w:val="32"/>
          <w:szCs w:val="32"/>
        </w:rPr>
        <w:t>万元，决算数大于</w:t>
      </w:r>
      <w:r>
        <w:rPr>
          <w:sz w:val="44"/>
        </w:rPr>
        <w:pict>
          <v:group id="_x0000_s1061" o:spid="_x0000_s1061" o:spt="203" style="position:absolute;left:0pt;margin-left:-0.55pt;margin-top:29.3pt;height:43.95pt;width:301.85pt;mso-position-horizontal-relative:page;mso-position-vertical-relative:page;z-index:25167667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En7KztsAAAALAQAADwAAAAAAAAABACAAAAAiAAAAZHJzL2Rvd25yZXYueG1sUEsBAhQA&#10;FAAAAAgAh07iQDKzEipFAwAAPAkAAA4AAAAAAAAAAQAgAAAAKgEAAGRycy9lMm9Eb2MueG1sUEsF&#10;BgAAAAAGAAYAWQEAAOEGAAAAAA==&#10;">
            <o:lock v:ext="edit"/>
            <v:rect id="矩形 13" o:spid="_x0000_s1063" o:spt="1" style="position:absolute;left:4551;top:52615;height:1175;width:8546;v-text-anchor:middle;" fillcolor="#D9D9D9"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62" o:spt="1" style="position:absolute;left:4577;top:52890;height:1123;width:832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path/>
              <v:fill on="t" focussize="0,0"/>
              <v:stroke weight="2pt" color="#B0761F" joinstyle="round"/>
              <v:imagedata o:title=""/>
              <o:lock v:ext="edit"/>
              <v:textbox>
                <w:txbxContent>
                  <w:p w14:paraId="4F01262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CBD913B">
                    <w:pPr>
                      <w:jc w:val="center"/>
                    </w:pPr>
                  </w:p>
                </w:txbxContent>
              </v:textbox>
            </v:rect>
            <w10:anchorlock/>
          </v:group>
        </w:pict>
      </w:r>
      <w:r>
        <w:rPr>
          <w:rFonts w:hint="eastAsia" w:ascii="仿宋_GB2312" w:eastAsia="仿宋_GB2312" w:cs="DengXian-Regular"/>
          <w:sz w:val="32"/>
          <w:szCs w:val="32"/>
        </w:rPr>
        <w:t>预算数主要原因是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w:t>
      </w:r>
    </w:p>
    <w:p w14:paraId="670843C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cs="DengXian-Regular" w:eastAsiaTheme="minorEastAsia"/>
          <w:sz w:val="32"/>
          <w:szCs w:val="32"/>
        </w:rPr>
        <w:t>1146.7</w:t>
      </w:r>
      <w:r>
        <w:rPr>
          <w:rFonts w:hint="eastAsia" w:ascii="宋体" w:hAnsi="宋体" w:cs="宋体"/>
          <w:sz w:val="32"/>
          <w:szCs w:val="32"/>
        </w:rPr>
        <w:t>9</w:t>
      </w:r>
      <w:r>
        <w:rPr>
          <w:rFonts w:hint="eastAsia" w:ascii="仿宋_GB2312" w:eastAsia="仿宋_GB2312" w:cs="DengXian-Regular"/>
          <w:sz w:val="32"/>
          <w:szCs w:val="32"/>
        </w:rPr>
        <w:t>万元，完成年初预算的</w:t>
      </w:r>
      <w:r>
        <w:rPr>
          <w:rFonts w:hint="eastAsia" w:ascii="仿宋_GB2312" w:cs="DengXian-Regular" w:eastAsiaTheme="minorEastAsia"/>
          <w:sz w:val="32"/>
          <w:szCs w:val="32"/>
        </w:rPr>
        <w:t>4</w:t>
      </w:r>
      <w:r>
        <w:rPr>
          <w:rFonts w:hint="eastAsia" w:ascii="宋体" w:hAnsi="宋体" w:cs="宋体"/>
          <w:sz w:val="32"/>
          <w:szCs w:val="32"/>
        </w:rPr>
        <w:t>92.18</w:t>
      </w:r>
      <w:r>
        <w:rPr>
          <w:rFonts w:hint="eastAsia" w:ascii="仿宋_GB2312" w:eastAsia="仿宋_GB2312" w:cs="DengXian-Regular"/>
          <w:sz w:val="32"/>
          <w:szCs w:val="32"/>
        </w:rPr>
        <w:t>%,比年初预算增加</w:t>
      </w:r>
      <w:r>
        <w:rPr>
          <w:rFonts w:hint="eastAsia" w:ascii="宋体" w:hAnsi="宋体" w:cs="宋体"/>
          <w:sz w:val="32"/>
          <w:szCs w:val="32"/>
        </w:rPr>
        <w:t>913.79</w:t>
      </w:r>
      <w:r>
        <w:rPr>
          <w:rFonts w:hint="eastAsia" w:ascii="仿宋_GB2312" w:eastAsia="仿宋_GB2312" w:cs="DengXian-Regular"/>
          <w:sz w:val="32"/>
          <w:szCs w:val="32"/>
        </w:rPr>
        <w:t>万元，决算数大于预算数主要原因是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；本年支出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万元，完成年初预算的</w:t>
      </w:r>
      <w:r>
        <w:rPr>
          <w:rFonts w:hint="eastAsia" w:ascii="仿宋_GB2312" w:cs="DengXian-Regular" w:eastAsiaTheme="minorEastAsia"/>
          <w:sz w:val="32"/>
          <w:szCs w:val="32"/>
        </w:rPr>
        <w:t>2</w:t>
      </w:r>
      <w:r>
        <w:rPr>
          <w:rFonts w:hint="eastAsia" w:ascii="宋体" w:hAnsi="宋体" w:cs="宋体"/>
          <w:sz w:val="32"/>
          <w:szCs w:val="32"/>
        </w:rPr>
        <w:t>94.07</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452.1</w:t>
      </w:r>
      <w:r>
        <w:rPr>
          <w:rFonts w:hint="eastAsia" w:ascii="宋体" w:hAnsi="宋体" w:cs="宋体"/>
          <w:sz w:val="32"/>
          <w:szCs w:val="32"/>
        </w:rPr>
        <w:t>9</w:t>
      </w:r>
      <w:r>
        <w:rPr>
          <w:rFonts w:hint="eastAsia" w:ascii="仿宋_GB2312" w:eastAsia="仿宋_GB2312" w:cs="DengXian-Regular"/>
          <w:sz w:val="32"/>
          <w:szCs w:val="32"/>
        </w:rPr>
        <w:t>万元，决算数大于预算数主要原因是主要是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w:t>
      </w:r>
    </w:p>
    <w:p w14:paraId="276640D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w:t>
      </w:r>
      <w:r>
        <w:rPr>
          <w:rFonts w:hint="eastAsia" w:ascii="仿宋_GB2312" w:cs="DengXian-Regular" w:eastAsiaTheme="minorEastAsia"/>
          <w:sz w:val="32"/>
          <w:szCs w:val="32"/>
        </w:rPr>
        <w:t>4</w:t>
      </w:r>
      <w:r>
        <w:rPr>
          <w:rFonts w:hint="eastAsia" w:ascii="宋体" w:hAnsi="宋体" w:cs="宋体"/>
          <w:sz w:val="32"/>
          <w:szCs w:val="32"/>
        </w:rPr>
        <w:t>92.18</w:t>
      </w:r>
      <w:r>
        <w:rPr>
          <w:rFonts w:hint="eastAsia" w:ascii="仿宋_GB2312" w:eastAsia="仿宋_GB2312" w:cs="DengXian-Regular"/>
          <w:sz w:val="32"/>
          <w:szCs w:val="32"/>
        </w:rPr>
        <w:t>%，比年初预算增加</w:t>
      </w:r>
      <w:r>
        <w:rPr>
          <w:rFonts w:hint="eastAsia" w:ascii="宋体" w:hAnsi="宋体" w:cs="宋体"/>
          <w:sz w:val="32"/>
          <w:szCs w:val="32"/>
        </w:rPr>
        <w:t>913.79</w:t>
      </w:r>
      <w:r>
        <w:rPr>
          <w:rFonts w:hint="eastAsia" w:ascii="仿宋_GB2312" w:eastAsia="仿宋_GB2312" w:cs="DengXian-Regular"/>
          <w:sz w:val="32"/>
          <w:szCs w:val="32"/>
        </w:rPr>
        <w:t>万元，主要是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；支出完成年初预算</w:t>
      </w:r>
      <w:r>
        <w:rPr>
          <w:rFonts w:hint="eastAsia" w:ascii="仿宋_GB2312" w:cs="DengXian-Regular" w:eastAsiaTheme="minorEastAsia"/>
          <w:sz w:val="32"/>
          <w:szCs w:val="32"/>
        </w:rPr>
        <w:t>2</w:t>
      </w:r>
      <w:r>
        <w:rPr>
          <w:rFonts w:hint="eastAsia" w:ascii="宋体" w:hAnsi="宋体" w:cs="宋体"/>
          <w:sz w:val="32"/>
          <w:szCs w:val="32"/>
        </w:rPr>
        <w:t>94.07</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452.1</w:t>
      </w:r>
      <w:r>
        <w:rPr>
          <w:rFonts w:hint="eastAsia" w:ascii="宋体" w:hAnsi="宋体" w:cs="宋体"/>
          <w:sz w:val="32"/>
          <w:szCs w:val="32"/>
        </w:rPr>
        <w:t>9</w:t>
      </w:r>
      <w:r>
        <w:rPr>
          <w:rFonts w:hint="eastAsia" w:ascii="仿宋_GB2312" w:eastAsia="仿宋_GB2312" w:cs="DengXian-Regular"/>
          <w:sz w:val="32"/>
          <w:szCs w:val="32"/>
        </w:rPr>
        <w:t>万元，主要是</w:t>
      </w:r>
      <w:r>
        <w:rPr>
          <w:rFonts w:hint="eastAsia" w:ascii="仿宋_GB2312" w:cs="DengXian-Regular" w:eastAsiaTheme="minorEastAsia"/>
          <w:sz w:val="32"/>
          <w:szCs w:val="32"/>
        </w:rPr>
        <w:t>棚户区改造项目</w:t>
      </w:r>
      <w:r>
        <w:rPr>
          <w:rFonts w:hint="eastAsia" w:ascii="仿宋_GB2312" w:eastAsia="仿宋_GB2312" w:cs="DengXian-Regular"/>
          <w:sz w:val="32"/>
          <w:szCs w:val="32"/>
        </w:rPr>
        <w:t>。政府性基金预算财政拨款本年收入完成年初预算</w:t>
      </w:r>
      <w:r>
        <w:rPr>
          <w:rFonts w:hint="eastAsia" w:ascii="仿宋_GB2312" w:cs="DengXian-Regular" w:eastAsiaTheme="minorEastAsia"/>
          <w:sz w:val="32"/>
          <w:szCs w:val="32"/>
        </w:rPr>
        <w:t>0</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万元，主要是</w:t>
      </w:r>
      <w:r>
        <w:rPr>
          <w:rFonts w:hint="eastAsia" w:ascii="仿宋_GB2312" w:cs="DengXian-Regular" w:eastAsiaTheme="minorEastAsia"/>
          <w:sz w:val="32"/>
          <w:szCs w:val="32"/>
        </w:rPr>
        <w:t>本单位无政府性基金</w:t>
      </w:r>
      <w:r>
        <w:rPr>
          <w:rFonts w:hint="eastAsia" w:ascii="仿宋_GB2312" w:eastAsia="仿宋_GB2312" w:cs="DengXian-Regular"/>
          <w:sz w:val="32"/>
          <w:szCs w:val="32"/>
        </w:rPr>
        <w:t>；支出完成年初预算</w:t>
      </w:r>
      <w:r>
        <w:rPr>
          <w:rFonts w:hint="eastAsia" w:ascii="仿宋_GB2312" w:cs="DengXian-Regular" w:eastAsiaTheme="minorEastAsia"/>
          <w:sz w:val="32"/>
          <w:szCs w:val="32"/>
        </w:rPr>
        <w:t>0</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万元，主要是</w:t>
      </w:r>
      <w:r>
        <w:rPr>
          <w:rFonts w:hint="eastAsia" w:ascii="仿宋_GB2312" w:cs="DengXian-Regular" w:eastAsiaTheme="minorEastAsia"/>
          <w:sz w:val="32"/>
          <w:szCs w:val="32"/>
        </w:rPr>
        <w:t>本单位无政府性基金</w:t>
      </w:r>
      <w:r>
        <w:rPr>
          <w:rFonts w:hint="eastAsia" w:ascii="仿宋_GB2312" w:eastAsia="仿宋_GB2312" w:cs="DengXian-Regular"/>
          <w:sz w:val="32"/>
          <w:szCs w:val="32"/>
        </w:rPr>
        <w:t>。</w:t>
      </w:r>
    </w:p>
    <w:p w14:paraId="4EDB9B68">
      <w:pPr>
        <w:adjustRightInd w:val="0"/>
        <w:snapToGrid w:val="0"/>
        <w:spacing w:after="0" w:line="580" w:lineRule="exact"/>
        <w:ind w:firstLine="640" w:firstLineChars="200"/>
        <w:rPr>
          <w:rFonts w:ascii="仿宋_GB2312" w:cs="DengXian-Regular" w:eastAsiaTheme="minorEastAsia"/>
          <w:sz w:val="32"/>
          <w:szCs w:val="32"/>
          <w:highlight w:val="yellow"/>
        </w:rPr>
      </w:pPr>
      <w:r>
        <w:rPr>
          <w:rFonts w:ascii="仿宋_GB2312" w:cs="DengXian-Regular" w:eastAsiaTheme="minorEastAsia"/>
          <w:sz w:val="32"/>
          <w:szCs w:val="32"/>
        </w:rPr>
        <w:drawing>
          <wp:anchor distT="0" distB="0" distL="114300" distR="114300" simplePos="0" relativeHeight="251696128" behindDoc="0" locked="0" layoutInCell="1" allowOverlap="1">
            <wp:simplePos x="0" y="0"/>
            <wp:positionH relativeFrom="column">
              <wp:posOffset>887095</wp:posOffset>
            </wp:positionH>
            <wp:positionV relativeFrom="paragraph">
              <wp:posOffset>347345</wp:posOffset>
            </wp:positionV>
            <wp:extent cx="3914775" cy="2162175"/>
            <wp:effectExtent l="0" t="0" r="0" b="0"/>
            <wp:wrapNone/>
            <wp:docPr id="119" name="图表 1"/>
            <wp:cNvGraphicFramePr/>
            <a:graphic xmlns:a="http://schemas.openxmlformats.org/drawingml/2006/main">
              <a:graphicData uri="http://schemas.openxmlformats.org/drawingml/2006/picture">
                <pic:pic xmlns:pic="http://schemas.openxmlformats.org/drawingml/2006/picture">
                  <pic:nvPicPr>
                    <pic:cNvPr id="119" name="图表 1"/>
                    <pic:cNvPicPr>
                      <a:picLocks noChangeArrowheads="1"/>
                    </pic:cNvPicPr>
                  </pic:nvPicPr>
                  <pic:blipFill>
                    <a:blip r:embed="rId11" cstate="print"/>
                    <a:srcRect l="-1714" t="-3915" r="-7123" b="-5013"/>
                    <a:stretch>
                      <a:fillRect/>
                    </a:stretch>
                  </pic:blipFill>
                  <pic:spPr>
                    <a:xfrm>
                      <a:off x="0" y="0"/>
                      <a:ext cx="3914775" cy="2162175"/>
                    </a:xfrm>
                    <a:prstGeom prst="rect">
                      <a:avLst/>
                    </a:prstGeom>
                    <a:noFill/>
                    <a:ln w="9525">
                      <a:noFill/>
                      <a:miter lim="800000"/>
                      <a:headEnd/>
                      <a:tailEnd/>
                    </a:ln>
                  </pic:spPr>
                </pic:pic>
              </a:graphicData>
            </a:graphic>
          </wp:anchor>
        </w:drawing>
      </w:r>
    </w:p>
    <w:p w14:paraId="6592D4D7">
      <w:pPr>
        <w:adjustRightInd w:val="0"/>
        <w:snapToGrid w:val="0"/>
        <w:spacing w:after="0" w:line="580" w:lineRule="exact"/>
        <w:ind w:firstLine="640" w:firstLineChars="200"/>
        <w:rPr>
          <w:rFonts w:ascii="仿宋_GB2312" w:eastAsia="仿宋_GB2312" w:cs="DengXian-Regular"/>
          <w:sz w:val="32"/>
          <w:szCs w:val="32"/>
          <w:highlight w:val="yellow"/>
        </w:rPr>
      </w:pPr>
    </w:p>
    <w:p w14:paraId="288F1CB1">
      <w:pPr>
        <w:adjustRightInd w:val="0"/>
        <w:snapToGrid w:val="0"/>
        <w:spacing w:after="0" w:line="580" w:lineRule="exact"/>
        <w:ind w:firstLine="640" w:firstLineChars="200"/>
        <w:rPr>
          <w:rFonts w:ascii="仿宋_GB2312" w:eastAsia="仿宋_GB2312" w:cs="DengXian-Regular"/>
          <w:sz w:val="32"/>
          <w:szCs w:val="32"/>
          <w:highlight w:val="yellow"/>
        </w:rPr>
      </w:pPr>
    </w:p>
    <w:p w14:paraId="7336E62C">
      <w:pPr>
        <w:adjustRightInd w:val="0"/>
        <w:snapToGrid w:val="0"/>
        <w:spacing w:after="0" w:line="580" w:lineRule="exact"/>
        <w:ind w:firstLine="640" w:firstLineChars="200"/>
        <w:rPr>
          <w:rFonts w:ascii="仿宋_GB2312" w:eastAsia="仿宋_GB2312" w:cs="DengXian-Regular"/>
          <w:sz w:val="32"/>
          <w:szCs w:val="32"/>
          <w:highlight w:val="yellow"/>
        </w:rPr>
      </w:pPr>
    </w:p>
    <w:p w14:paraId="3D68232F">
      <w:pPr>
        <w:adjustRightInd w:val="0"/>
        <w:snapToGrid w:val="0"/>
        <w:spacing w:after="0" w:line="580" w:lineRule="exact"/>
        <w:ind w:firstLine="640" w:firstLineChars="200"/>
        <w:rPr>
          <w:rFonts w:ascii="仿宋_GB2312" w:eastAsia="仿宋_GB2312" w:cs="DengXian-Regular"/>
          <w:sz w:val="32"/>
          <w:szCs w:val="32"/>
          <w:highlight w:val="yellow"/>
        </w:rPr>
      </w:pPr>
    </w:p>
    <w:p w14:paraId="15D45097">
      <w:pPr>
        <w:adjustRightInd w:val="0"/>
        <w:snapToGrid w:val="0"/>
        <w:spacing w:after="0" w:line="580" w:lineRule="exact"/>
        <w:ind w:firstLine="640" w:firstLineChars="200"/>
        <w:rPr>
          <w:rFonts w:ascii="仿宋_GB2312" w:eastAsia="仿宋_GB2312" w:cs="DengXian-Regular"/>
          <w:sz w:val="32"/>
          <w:szCs w:val="32"/>
          <w:highlight w:val="yellow"/>
        </w:rPr>
      </w:pPr>
    </w:p>
    <w:p w14:paraId="20051430">
      <w:pPr>
        <w:adjustRightInd w:val="0"/>
        <w:snapToGrid w:val="0"/>
        <w:spacing w:after="0" w:line="580" w:lineRule="exact"/>
        <w:ind w:firstLine="420" w:firstLineChars="200"/>
        <w:rPr>
          <w:rFonts w:ascii="仿宋_GB2312" w:cs="DengXian-Regular" w:eastAsiaTheme="minorEastAsia"/>
          <w:sz w:val="32"/>
          <w:szCs w:val="32"/>
          <w:highlight w:val="yellow"/>
        </w:rPr>
      </w:pPr>
      <w:r>
        <w:pict>
          <v:shape id="文本框 28" o:spid="_x0000_s1059" o:spt="202" type="#_x0000_t202" style="position:absolute;left:0pt;margin-left:72.3pt;margin-top:8.85pt;height:39.75pt;width:330.3pt;z-index:-251626496;mso-width-relative:page;mso-height-relative:page;"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on="t" focussize="0,0"/>
            <v:stroke on="f" weight="0.5pt" joinstyle="miter"/>
            <v:imagedata o:title=""/>
            <o:lock v:ext="edit"/>
            <v:textbox>
              <w:txbxContent>
                <w:p w14:paraId="76FF0E9D">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4C26116D">
                  <w:pPr>
                    <w:rPr>
                      <w:sz w:val="18"/>
                      <w:szCs w:val="21"/>
                    </w:rPr>
                  </w:pPr>
                </w:p>
              </w:txbxContent>
            </v:textbox>
          </v:shape>
        </w:pict>
      </w:r>
    </w:p>
    <w:p w14:paraId="0C01575A">
      <w:pPr>
        <w:numPr>
          <w:ilvl w:val="0"/>
          <w:numId w:val="1"/>
        </w:numPr>
        <w:adjustRightInd w:val="0"/>
        <w:snapToGrid w:val="0"/>
        <w:spacing w:after="0" w:line="580" w:lineRule="exact"/>
        <w:ind w:left="420" w:leftChars="200"/>
        <w:rPr>
          <w:rFonts w:hint="eastAsia"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4703476B">
      <w:pPr>
        <w:adjustRightInd w:val="0"/>
        <w:snapToGrid w:val="0"/>
        <w:spacing w:after="0" w:line="580" w:lineRule="exact"/>
        <w:ind w:left="420"/>
        <w:rPr>
          <w:rFonts w:ascii="楷体_GB2312" w:eastAsia="楷体_GB2312" w:cs="DengXian-Bold"/>
          <w:b/>
          <w:bCs/>
          <w:sz w:val="32"/>
          <w:szCs w:val="32"/>
        </w:rPr>
      </w:pPr>
    </w:p>
    <w:p w14:paraId="70372187">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94080" behindDoc="0" locked="0" layoutInCell="1" allowOverlap="1">
            <wp:simplePos x="0" y="0"/>
            <wp:positionH relativeFrom="column">
              <wp:posOffset>601345</wp:posOffset>
            </wp:positionH>
            <wp:positionV relativeFrom="paragraph">
              <wp:posOffset>2163445</wp:posOffset>
            </wp:positionV>
            <wp:extent cx="4448175" cy="2190750"/>
            <wp:effectExtent l="19050" t="0" r="0" b="0"/>
            <wp:wrapNone/>
            <wp:docPr id="11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hint="eastAsia" w:ascii="仿宋_GB2312" w:eastAsia="仿宋_GB2312" w:cs="DengXian-Regular"/>
          <w:sz w:val="32"/>
          <w:szCs w:val="32"/>
        </w:rPr>
        <w:t>2018 年度财政拨款支出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万元，主要用于以下方面一般公共服务（类）支出</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%；公共安全类（类）支出</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%；教育（类）支出</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%；科学技术（类）支出</w:t>
      </w:r>
      <w:r>
        <w:rPr>
          <w:rFonts w:hint="eastAsia" w:ascii="仿宋_GB2312" w:cs="DengXian-Regular" w:eastAsiaTheme="minorEastAsia"/>
          <w:sz w:val="32"/>
          <w:szCs w:val="32"/>
        </w:rPr>
        <w:t>0</w:t>
      </w:r>
      <w:r>
        <w:rPr>
          <w:rFonts w:hint="eastAsia" w:ascii="仿宋_GB2312" w:eastAsia="仿宋_GB2312" w:cs="DengXian-Regular"/>
          <w:sz w:val="32"/>
          <w:szCs w:val="32"/>
        </w:rPr>
        <w:t xml:space="preserve">万元，占 </w:t>
      </w:r>
      <w:r>
        <w:rPr>
          <w:rFonts w:hint="eastAsia" w:ascii="仿宋_GB2312" w:cs="DengXian-Regular" w:eastAsiaTheme="minorEastAsia"/>
          <w:sz w:val="32"/>
          <w:szCs w:val="32"/>
        </w:rPr>
        <w:t>0</w:t>
      </w:r>
      <w:r>
        <w:rPr>
          <w:rFonts w:hint="eastAsia" w:ascii="仿宋_GB2312" w:eastAsia="仿宋_GB2312" w:cs="DengXian-Regular"/>
          <w:sz w:val="32"/>
          <w:szCs w:val="32"/>
        </w:rPr>
        <w:t xml:space="preserve">%；社会保障和就业（类）支出 </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%；住房保障（类）支出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 xml:space="preserve">万元，占 </w:t>
      </w:r>
      <w:r>
        <w:rPr>
          <w:rFonts w:hint="eastAsia" w:ascii="仿宋_GB2312" w:cs="DengXian-Regular" w:eastAsiaTheme="minorEastAsia"/>
          <w:sz w:val="32"/>
          <w:szCs w:val="32"/>
        </w:rPr>
        <w:t>100</w:t>
      </w:r>
      <w:r>
        <w:rPr>
          <w:rFonts w:hint="eastAsia" w:ascii="仿宋_GB2312" w:eastAsia="仿宋_GB2312" w:cs="DengXian-Regular"/>
          <w:sz w:val="32"/>
          <w:szCs w:val="32"/>
        </w:rPr>
        <w:t>%;…………。</w:t>
      </w:r>
    </w:p>
    <w:p w14:paraId="531D6165">
      <w:pPr>
        <w:adjustRightInd w:val="0"/>
        <w:snapToGrid w:val="0"/>
        <w:spacing w:after="0" w:line="580" w:lineRule="exact"/>
        <w:rPr>
          <w:rFonts w:ascii="楷体_GB2312" w:eastAsia="楷体_GB2312" w:cs="DengXian-Bold"/>
          <w:b/>
          <w:bCs/>
          <w:sz w:val="32"/>
          <w:szCs w:val="32"/>
        </w:rPr>
      </w:pPr>
    </w:p>
    <w:p w14:paraId="29CCEE13">
      <w:pPr>
        <w:adjustRightInd w:val="0"/>
        <w:snapToGrid w:val="0"/>
        <w:spacing w:after="0" w:line="580" w:lineRule="exact"/>
        <w:rPr>
          <w:rFonts w:ascii="楷体_GB2312" w:eastAsia="楷体_GB2312" w:cs="DengXian-Bold"/>
          <w:b/>
          <w:bCs/>
          <w:sz w:val="32"/>
          <w:szCs w:val="32"/>
        </w:rPr>
      </w:pPr>
    </w:p>
    <w:p w14:paraId="22F31ABD">
      <w:pPr>
        <w:adjustRightInd w:val="0"/>
        <w:snapToGrid w:val="0"/>
        <w:spacing w:after="0" w:line="580" w:lineRule="exact"/>
        <w:rPr>
          <w:rFonts w:ascii="楷体_GB2312" w:eastAsia="楷体_GB2312" w:cs="DengXian-Bold"/>
          <w:b/>
          <w:bCs/>
          <w:sz w:val="32"/>
          <w:szCs w:val="32"/>
        </w:rPr>
      </w:pPr>
    </w:p>
    <w:p w14:paraId="77715170">
      <w:pPr>
        <w:adjustRightInd w:val="0"/>
        <w:snapToGrid w:val="0"/>
        <w:spacing w:after="0" w:line="580" w:lineRule="exact"/>
        <w:rPr>
          <w:rFonts w:ascii="楷体_GB2312" w:eastAsia="楷体_GB2312" w:cs="DengXian-Bold"/>
          <w:b/>
          <w:bCs/>
          <w:sz w:val="32"/>
          <w:szCs w:val="32"/>
        </w:rPr>
      </w:pPr>
    </w:p>
    <w:p w14:paraId="7A67CE5B">
      <w:pPr>
        <w:adjustRightInd w:val="0"/>
        <w:snapToGrid w:val="0"/>
        <w:spacing w:after="0" w:line="580" w:lineRule="exact"/>
        <w:ind w:left="420" w:leftChars="200"/>
        <w:rPr>
          <w:rFonts w:ascii="楷体_GB2312" w:eastAsia="楷体_GB2312" w:cs="DengXian-Bold"/>
          <w:b/>
          <w:bCs/>
          <w:sz w:val="32"/>
          <w:szCs w:val="32"/>
        </w:rPr>
      </w:pPr>
    </w:p>
    <w:p w14:paraId="1BB1D2FF">
      <w:pPr>
        <w:adjustRightInd w:val="0"/>
        <w:snapToGrid w:val="0"/>
        <w:spacing w:after="0" w:line="580" w:lineRule="exact"/>
        <w:ind w:left="420" w:leftChars="200"/>
        <w:rPr>
          <w:rFonts w:ascii="楷体_GB2312" w:eastAsia="楷体_GB2312" w:cs="DengXian-Bold"/>
          <w:b/>
          <w:bCs/>
          <w:sz w:val="32"/>
          <w:szCs w:val="32"/>
        </w:rPr>
      </w:pPr>
      <w:r>
        <w:pict>
          <v:shape id="_x0000_s1056" o:spid="_x0000_s1056" o:spt="202" type="#_x0000_t202" style="position:absolute;left:0pt;margin-left:101.65pt;margin-top:20.85pt;height:37.5pt;width:316pt;z-index:-251625472;mso-width-relative:page;mso-height-relative:page;"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on="t" focussize="0,0"/>
            <v:stroke on="f" weight="0.5pt" joinstyle="miter"/>
            <v:imagedata o:title=""/>
            <o:lock v:ext="edit"/>
            <v:textbox>
              <w:txbxContent>
                <w:p w14:paraId="0D840F04">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64A84E74">
                  <w:pPr>
                    <w:rPr>
                      <w:sz w:val="20"/>
                      <w:szCs w:val="22"/>
                    </w:rPr>
                  </w:pPr>
                </w:p>
              </w:txbxContent>
            </v:textbox>
          </v:shape>
        </w:pict>
      </w:r>
    </w:p>
    <w:p w14:paraId="74B84CD0">
      <w:pPr>
        <w:adjustRightInd w:val="0"/>
        <w:snapToGrid w:val="0"/>
        <w:spacing w:after="0" w:line="580" w:lineRule="exact"/>
        <w:ind w:left="420" w:leftChars="200"/>
        <w:rPr>
          <w:rFonts w:ascii="楷体_GB2312" w:eastAsia="楷体_GB2312" w:cs="DengXian-Bold"/>
          <w:b/>
          <w:bCs/>
          <w:sz w:val="32"/>
          <w:szCs w:val="32"/>
        </w:rPr>
      </w:pPr>
    </w:p>
    <w:p w14:paraId="72A17431">
      <w:pPr>
        <w:adjustRightInd w:val="0"/>
        <w:snapToGrid w:val="0"/>
        <w:spacing w:after="0" w:line="580" w:lineRule="exact"/>
        <w:ind w:left="420" w:leftChars="200"/>
        <w:rPr>
          <w:rFonts w:ascii="楷体_GB2312" w:eastAsia="楷体_GB2312" w:cs="DengXian-Bold"/>
          <w:b/>
          <w:bCs/>
          <w:sz w:val="32"/>
          <w:szCs w:val="32"/>
        </w:rPr>
      </w:pPr>
      <w:r>
        <w:rPr>
          <w:sz w:val="44"/>
        </w:rPr>
        <w:pict>
          <v:group id="_x0000_s1052" o:spid="_x0000_s1052" o:spt="203" style="position:absolute;left:0pt;margin-left:-0.55pt;margin-top:29.3pt;height:43.95pt;width:301.85pt;mso-position-horizontal-relative:page;mso-position-vertical-relative:page;z-index:25167769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20E1585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7B85CBFB">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r>
        <w:rPr>
          <w:sz w:val="44"/>
        </w:rPr>
        <w:pict>
          <v:group id="_x0000_s1049" o:spid="_x0000_s1049" o:spt="203" style="position:absolute;left:0pt;margin-left:-0.55pt;margin-top:29.3pt;height:43.95pt;width:301.85pt;mso-position-horizontal-relative:page;mso-position-vertical-relative:page;z-index:25168588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En7KztsAAAALAQAADwAAAAAAAAABACAAAAAiAAAAZHJzL2Rvd25yZXYueG1s&#10;UEsBAhQAFAAAAAgAh07iQGCfOcdLAwAAPAkAAA4AAAAAAAAAAQAgAAAAKgEAAGRycy9lMm9Eb2Mu&#10;eG1sUEsFBgAAAAAGAAYAWQEAAOcGAAAAAA==&#10;">
            <o:lock v:ext="edit"/>
            <v:rect id="矩形 13" o:spid="_x0000_s1051" o:spt="1" style="position:absolute;left:4551;top:52615;height:1175;width:8546;v-text-anchor:middle;" fillcolor="#D9D9D9"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56B446E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A3597EC">
                    <w:pPr>
                      <w:jc w:val="center"/>
                    </w:pPr>
                  </w:p>
                </w:txbxContent>
              </v:textbox>
            </v:rect>
            <w10:anchorlock/>
          </v:group>
        </w:pict>
      </w:r>
    </w:p>
    <w:p w14:paraId="535E335D">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cs="DengXian-Regular" w:eastAsiaTheme="minorEastAsia"/>
          <w:sz w:val="32"/>
          <w:szCs w:val="32"/>
        </w:rPr>
        <w:t>685.1</w:t>
      </w:r>
      <w:r>
        <w:rPr>
          <w:rFonts w:hint="eastAsia" w:ascii="宋体" w:hAnsi="宋体" w:cs="宋体"/>
          <w:sz w:val="32"/>
          <w:szCs w:val="32"/>
        </w:rPr>
        <w:t>9</w:t>
      </w:r>
      <w:r>
        <w:rPr>
          <w:rFonts w:hint="eastAsia" w:ascii="仿宋_GB2312" w:eastAsia="仿宋_GB2312" w:cs="DengXian-Regular"/>
          <w:sz w:val="32"/>
          <w:szCs w:val="32"/>
        </w:rPr>
        <w:t xml:space="preserve">万元，其中：人员经费 </w:t>
      </w:r>
      <w:r>
        <w:rPr>
          <w:rFonts w:hint="eastAsia" w:ascii="仿宋_GB2312" w:cs="DengXian-Regular" w:eastAsiaTheme="minorEastAsia"/>
          <w:sz w:val="32"/>
          <w:szCs w:val="32"/>
        </w:rPr>
        <w:t>67.11</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宋体" w:hAnsi="宋体" w:cs="宋体"/>
          <w:sz w:val="32"/>
          <w:szCs w:val="32"/>
        </w:rPr>
        <w:t>9.29</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511A7D3">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63355AE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cs="DengXian-Regular" w:eastAsiaTheme="minorEastAsia"/>
          <w:sz w:val="32"/>
          <w:szCs w:val="32"/>
        </w:rPr>
        <w:t>0</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较年初预算增加</w:t>
      </w:r>
      <w:r>
        <w:rPr>
          <w:rFonts w:hint="eastAsia" w:ascii="仿宋_GB2312" w:cs="DengXian-Regular" w:eastAsiaTheme="minorEastAsia"/>
          <w:b/>
          <w:bCs/>
          <w:sz w:val="32"/>
          <w:szCs w:val="32"/>
        </w:rPr>
        <w:t>0</w:t>
      </w:r>
      <w:r>
        <w:rPr>
          <w:rFonts w:hint="eastAsia" w:ascii="仿宋_GB2312" w:eastAsia="仿宋_GB2312" w:cs="DengXian-Regular"/>
          <w:b/>
          <w:bCs/>
          <w:sz w:val="32"/>
          <w:szCs w:val="32"/>
        </w:rPr>
        <w:t>万元，增长</w:t>
      </w:r>
      <w:r>
        <w:rPr>
          <w:rFonts w:hint="eastAsia" w:ascii="仿宋_GB2312" w:cs="DengXian-Regular" w:eastAsiaTheme="minorEastAsia"/>
          <w:b/>
          <w:bCs/>
          <w:sz w:val="32"/>
          <w:szCs w:val="32"/>
        </w:rPr>
        <w:t>0</w:t>
      </w:r>
      <w:r>
        <w:rPr>
          <w:rFonts w:hint="eastAsia" w:ascii="仿宋_GB2312" w:eastAsia="仿宋_GB2312" w:cs="DengXian-Regular"/>
          <w:b/>
          <w:bCs/>
          <w:sz w:val="32"/>
          <w:szCs w:val="32"/>
        </w:rPr>
        <w:t>%，</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本单位无“三公”经费支出</w:t>
      </w:r>
      <w:r>
        <w:rPr>
          <w:rFonts w:hint="eastAsia" w:ascii="仿宋_GB2312" w:eastAsia="仿宋_GB2312" w:cs="DengXian-Regular"/>
          <w:sz w:val="32"/>
          <w:szCs w:val="32"/>
        </w:rPr>
        <w:t>（例：认真贯彻落实中央</w:t>
      </w:r>
      <w:bookmarkStart w:id="0" w:name="_GoBack"/>
      <w:bookmarkEnd w:id="0"/>
      <w:r>
        <w:rPr>
          <w:rFonts w:hint="eastAsia" w:ascii="仿宋_GB2312" w:eastAsia="仿宋_GB2312" w:cs="DengXian-Regular"/>
          <w:sz w:val="32"/>
          <w:szCs w:val="32"/>
        </w:rPr>
        <w:t>八项规定精神和厉行节约要求，从严控制“三公”经费开支，全年实际支出比预算有所节约）。具体情况如下：</w:t>
      </w:r>
    </w:p>
    <w:p w14:paraId="143E6612">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7872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2716494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E366117">
                    <w:pPr>
                      <w:jc w:val="center"/>
                    </w:pPr>
                  </w:p>
                </w:txbxContent>
              </v:textbox>
            </v:rect>
            <w10:anchorlock/>
          </v:group>
        </w:pict>
      </w:r>
      <w:r>
        <w:rPr>
          <w:rFonts w:hint="eastAsia" w:ascii="楷体_GB2312" w:eastAsia="楷体_GB2312" w:cs="DengXian-Bold"/>
          <w:b/>
          <w:bCs/>
          <w:sz w:val="32"/>
          <w:szCs w:val="32"/>
        </w:rPr>
        <w:t>一）因公出国（境）费支出</w:t>
      </w:r>
      <w:r>
        <w:rPr>
          <w:rFonts w:hint="eastAsia" w:ascii="楷体_GB2312" w:cs="DengXian-Bold" w:eastAsiaTheme="minorEastAsia"/>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cs="DengXian-Regular" w:eastAsiaTheme="minorEastAsia"/>
          <w:sz w:val="32"/>
          <w:szCs w:val="32"/>
        </w:rPr>
        <w:t>0</w:t>
      </w:r>
      <w:r>
        <w:rPr>
          <w:rFonts w:hint="eastAsia" w:ascii="仿宋_GB2312" w:eastAsia="仿宋_GB2312" w:cs="DengXian-Regular"/>
          <w:sz w:val="32"/>
          <w:szCs w:val="32"/>
        </w:rPr>
        <w:t>个、共</w:t>
      </w:r>
      <w:r>
        <w:rPr>
          <w:rFonts w:hint="eastAsia" w:ascii="仿宋_GB2312" w:cs="DengXian-Regular" w:eastAsiaTheme="minorEastAsia"/>
          <w:sz w:val="32"/>
          <w:szCs w:val="32"/>
        </w:rPr>
        <w:t>0</w:t>
      </w:r>
      <w:r>
        <w:rPr>
          <w:rFonts w:hint="eastAsia" w:ascii="仿宋_GB2312" w:eastAsia="仿宋_GB2312" w:cs="DengXian-Regular"/>
          <w:sz w:val="32"/>
          <w:szCs w:val="32"/>
        </w:rPr>
        <w:t>人/参加其他单位组织的因公出国（境）团组</w:t>
      </w:r>
      <w:r>
        <w:rPr>
          <w:rFonts w:hint="eastAsia" w:ascii="仿宋_GB2312" w:cs="DengXian-Regular" w:eastAsiaTheme="minorEastAsia"/>
          <w:sz w:val="32"/>
          <w:szCs w:val="32"/>
        </w:rPr>
        <w:t>0</w:t>
      </w:r>
      <w:r>
        <w:rPr>
          <w:rFonts w:hint="eastAsia" w:ascii="仿宋_GB2312" w:eastAsia="仿宋_GB2312" w:cs="DengXian-Regular"/>
          <w:sz w:val="32"/>
          <w:szCs w:val="32"/>
        </w:rPr>
        <w:t>个、共</w:t>
      </w:r>
      <w:r>
        <w:rPr>
          <w:rFonts w:hint="eastAsia" w:ascii="仿宋_GB2312" w:cs="DengXian-Regular" w:eastAsiaTheme="minorEastAsia"/>
          <w:sz w:val="32"/>
          <w:szCs w:val="32"/>
        </w:rPr>
        <w:t>0</w:t>
      </w:r>
      <w:r>
        <w:rPr>
          <w:rFonts w:hint="eastAsia" w:ascii="仿宋_GB2312" w:eastAsia="仿宋_GB2312" w:cs="DengXian-Regular"/>
          <w:sz w:val="32"/>
          <w:szCs w:val="32"/>
        </w:rPr>
        <w:t>人/无本单位组织的出国（境）团组。因公出国（境）费支出较年初预算增加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本单位无“三公”经费支出</w:t>
      </w:r>
      <w:r>
        <w:rPr>
          <w:rFonts w:hint="eastAsia" w:ascii="仿宋_GB2312" w:eastAsia="仿宋_GB2312" w:cs="DengXian-Regular"/>
          <w:sz w:val="32"/>
          <w:szCs w:val="32"/>
        </w:rPr>
        <w:t>。</w:t>
      </w:r>
    </w:p>
    <w:p w14:paraId="2C62FFA0">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cs="DengXian-Bold" w:eastAsiaTheme="minorEastAsia"/>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cs="DengXian-Regular" w:eastAsiaTheme="minorEastAsia"/>
          <w:sz w:val="32"/>
          <w:szCs w:val="32"/>
        </w:rPr>
        <w:t>0</w:t>
      </w:r>
      <w:r>
        <w:rPr>
          <w:rFonts w:hint="eastAsia" w:ascii="仿宋_GB2312" w:eastAsia="仿宋_GB2312" w:cs="DengXian-Regular"/>
          <w:sz w:val="32"/>
          <w:szCs w:val="32"/>
        </w:rPr>
        <w:t>万元，降低</w:t>
      </w:r>
      <w:r>
        <w:rPr>
          <w:rFonts w:hint="eastAsia" w:ascii="仿宋_GB2312" w:cs="DengXian-Regular" w:eastAsiaTheme="minorEastAsia"/>
          <w:sz w:val="32"/>
          <w:szCs w:val="32"/>
        </w:rPr>
        <w:t>0</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本单位无公务用车</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14:paraId="22BA6C1F">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cs="DengXian-Regular" w:eastAsiaTheme="minorEastAsia"/>
          <w:sz w:val="32"/>
          <w:szCs w:val="32"/>
        </w:rPr>
        <w:t>0</w:t>
      </w:r>
      <w:r>
        <w:rPr>
          <w:rFonts w:hint="eastAsia" w:ascii="仿宋_GB2312" w:eastAsia="仿宋_GB2312" w:cs="DengXian-Regular"/>
          <w:sz w:val="32"/>
          <w:szCs w:val="32"/>
        </w:rPr>
        <w:t>辆，发生“公务用车购置”经费支出</w:t>
      </w:r>
      <w:r>
        <w:rPr>
          <w:rFonts w:hint="eastAsia" w:ascii="仿宋_GB2312" w:cs="DengXian-Regular" w:eastAsiaTheme="minorEastAsia"/>
          <w:sz w:val="32"/>
          <w:szCs w:val="32"/>
        </w:rPr>
        <w:t>0</w:t>
      </w:r>
      <w:r>
        <w:rPr>
          <w:rFonts w:hint="eastAsia" w:ascii="仿宋_GB2312" w:eastAsia="仿宋_GB2312" w:cs="DengXian-Regular"/>
          <w:sz w:val="32"/>
          <w:szCs w:val="32"/>
        </w:rPr>
        <w:t>万元。公务用车购置费支出较年初预算增加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本单位无公务用车购置经费支出</w:t>
      </w:r>
      <w:r>
        <w:rPr>
          <w:rFonts w:hint="eastAsia" w:ascii="仿宋_GB2312" w:eastAsia="仿宋_GB2312" w:cs="DengXian-Regular"/>
          <w:sz w:val="32"/>
          <w:szCs w:val="32"/>
        </w:rPr>
        <w:t>。</w:t>
      </w:r>
    </w:p>
    <w:p w14:paraId="1DE7D22F">
      <w:pPr>
        <w:adjustRightInd w:val="0"/>
        <w:snapToGrid w:val="0"/>
        <w:spacing w:after="0" w:line="580" w:lineRule="exact"/>
        <w:rPr>
          <w:rFonts w:ascii="仿宋_GB2312" w:cs="DengXian-Regular" w:eastAsiaTheme="minorEastAsia"/>
          <w:color w:val="000000" w:themeColor="text1"/>
          <w:sz w:val="32"/>
          <w:szCs w:val="32"/>
        </w:rPr>
      </w:pPr>
    </w:p>
    <w:p w14:paraId="6ECB2216">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cs="DengXian-Regular" w:eastAsiaTheme="minorEastAsia"/>
          <w:sz w:val="32"/>
          <w:szCs w:val="32"/>
        </w:rPr>
        <w:t>0</w:t>
      </w:r>
      <w:r>
        <w:rPr>
          <w:rFonts w:hint="eastAsia" w:ascii="仿宋_GB2312" w:eastAsia="仿宋_GB2312" w:cs="DengXian-Regular"/>
          <w:sz w:val="32"/>
          <w:szCs w:val="32"/>
        </w:rPr>
        <w:t>辆。公车运行维护费支出较年初预算增加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本单位无公务用车</w:t>
      </w:r>
      <w:r>
        <w:rPr>
          <w:rFonts w:hint="eastAsia" w:ascii="仿宋_GB2312" w:eastAsia="仿宋_GB2312" w:cs="DengXian-Regular"/>
          <w:sz w:val="32"/>
          <w:szCs w:val="32"/>
        </w:rPr>
        <w:t>。</w:t>
      </w:r>
    </w:p>
    <w:p w14:paraId="5DD2580B">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cs="DengXian-Bold" w:eastAsiaTheme="minorEastAsia"/>
          <w:b/>
          <w:bCs/>
          <w:sz w:val="32"/>
          <w:szCs w:val="32"/>
        </w:rPr>
        <w:t>0</w:t>
      </w:r>
      <w:r>
        <w:rPr>
          <w:rFonts w:hint="eastAsia" w:ascii="楷体_GB2312" w:eastAsia="楷体_GB2312" w:cs="DengXian-Bold"/>
          <w:b/>
          <w:bCs/>
          <w:sz w:val="32"/>
          <w:szCs w:val="32"/>
        </w:rPr>
        <w:t>万元。</w:t>
      </w:r>
      <w:r>
        <w:rPr>
          <w:sz w:val="44"/>
        </w:rPr>
        <w:pict>
          <v:group id="_x0000_s1043" o:spid="_x0000_s1043" o:spt="203" style="position:absolute;left:0pt;margin-left:-0.55pt;margin-top:29.3pt;height:43.95pt;width:301.85pt;mso-position-horizontal-relative:page;mso-position-vertical-relative:page;z-index:25167974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289C026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C91BBEF">
                    <w:pPr>
                      <w:jc w:val="center"/>
                    </w:pPr>
                  </w:p>
                </w:txbxContent>
              </v:textbox>
            </v:rect>
            <w10:anchorlock/>
          </v:group>
        </w:pict>
      </w:r>
      <w:r>
        <w:rPr>
          <w:rFonts w:hint="eastAsia" w:ascii="仿宋_GB2312" w:eastAsia="仿宋_GB2312" w:cs="DengXian-Regular"/>
          <w:sz w:val="32"/>
          <w:szCs w:val="32"/>
        </w:rPr>
        <w:t>本部门2018年度公务接待共</w:t>
      </w:r>
      <w:r>
        <w:rPr>
          <w:rFonts w:hint="eastAsia" w:ascii="仿宋_GB2312" w:cs="DengXian-Regular" w:eastAsiaTheme="minorEastAsia"/>
          <w:sz w:val="32"/>
          <w:szCs w:val="32"/>
        </w:rPr>
        <w:t>0</w:t>
      </w:r>
      <w:r>
        <w:rPr>
          <w:rFonts w:hint="eastAsia" w:ascii="仿宋_GB2312" w:eastAsia="仿宋_GB2312" w:cs="DengXian-Regular"/>
          <w:sz w:val="32"/>
          <w:szCs w:val="32"/>
        </w:rPr>
        <w:t>批次、</w:t>
      </w:r>
      <w:r>
        <w:rPr>
          <w:rFonts w:hint="eastAsia" w:ascii="仿宋_GB2312" w:cs="DengXian-Regular" w:eastAsiaTheme="minorEastAsia"/>
          <w:sz w:val="32"/>
          <w:szCs w:val="32"/>
        </w:rPr>
        <w:t>0</w:t>
      </w:r>
      <w:r>
        <w:rPr>
          <w:rFonts w:hint="eastAsia" w:ascii="仿宋_GB2312" w:eastAsia="仿宋_GB2312" w:cs="DengXian-Regular"/>
          <w:sz w:val="32"/>
          <w:szCs w:val="32"/>
        </w:rPr>
        <w:t>人次。公务接待费支出较年初预算增加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%,主要是</w:t>
      </w:r>
      <w:r>
        <w:rPr>
          <w:rFonts w:hint="eastAsia" w:ascii="仿宋_GB2312" w:cs="DengXian-Regular" w:eastAsiaTheme="minorEastAsia"/>
          <w:sz w:val="32"/>
          <w:szCs w:val="32"/>
        </w:rPr>
        <w:t>本单位无“三公”经费支出</w:t>
      </w:r>
      <w:r>
        <w:rPr>
          <w:rFonts w:hint="eastAsia" w:ascii="仿宋_GB2312" w:eastAsia="仿宋_GB2312" w:cs="DengXian-Regular"/>
          <w:sz w:val="32"/>
          <w:szCs w:val="32"/>
        </w:rPr>
        <w:t>。</w:t>
      </w:r>
    </w:p>
    <w:p w14:paraId="00043F48">
      <w:pPr>
        <w:adjustRightInd w:val="0"/>
        <w:snapToGrid w:val="0"/>
        <w:spacing w:after="0" w:line="580" w:lineRule="exact"/>
        <w:ind w:firstLine="640" w:firstLineChars="200"/>
        <w:rPr>
          <w:rFonts w:ascii="仿宋_GB2312" w:cs="DengXian-Regular" w:eastAsiaTheme="minorEastAsia"/>
          <w:sz w:val="32"/>
          <w:szCs w:val="32"/>
          <w:highlight w:val="yellow"/>
        </w:rPr>
      </w:pPr>
    </w:p>
    <w:p w14:paraId="4B9FA8F0">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shd w:val="pct10" w:color="auto" w:fill="FFFFFF"/>
        </w:rPr>
        <w:t>绩效预算情况说明</w:t>
      </w:r>
    </w:p>
    <w:p w14:paraId="2CE83C45">
      <w:pPr>
        <w:adjustRightInd w:val="0"/>
        <w:snapToGrid w:val="0"/>
        <w:spacing w:after="0" w:line="500" w:lineRule="exact"/>
        <w:ind w:firstLine="640" w:firstLineChars="200"/>
        <w:rPr>
          <w:rFonts w:ascii="仿宋_GB2312" w:eastAsia="仿宋_GB2312" w:cs="DengXian-Regular"/>
          <w:color w:val="FF0000"/>
          <w:sz w:val="32"/>
          <w:szCs w:val="32"/>
          <w:shd w:val="pct10" w:color="auto" w:fill="FFFFFF"/>
        </w:rPr>
      </w:pPr>
      <w:r>
        <w:rPr>
          <w:rFonts w:hint="eastAsia" w:ascii="仿宋_GB2312" w:eastAsia="仿宋_GB2312" w:cs="DengXian-Regular"/>
          <w:sz w:val="32"/>
          <w:szCs w:val="32"/>
          <w:shd w:val="pct10" w:color="auto" w:fill="FFFFFF"/>
        </w:rPr>
        <w:t>（一）绩效管理工作开展情况</w:t>
      </w:r>
      <w:r>
        <w:rPr>
          <w:rFonts w:hint="eastAsia" w:ascii="仿宋_GB2312" w:cs="DengXian-Regular" w:eastAsiaTheme="minorEastAsia"/>
          <w:sz w:val="32"/>
          <w:szCs w:val="32"/>
          <w:shd w:val="pct10" w:color="auto" w:fill="FFFFFF"/>
        </w:rPr>
        <w:t xml:space="preserve">  单位进一步提高绩效管理认识，强化以“绩效为中心、对支出结果负责、对社会公众负责”的理念，</w:t>
      </w:r>
      <w:r>
        <w:rPr>
          <w:rFonts w:hint="eastAsia" w:ascii="仿宋_GB2312" w:eastAsia="仿宋_GB2312" w:cs="DengXian-Regular"/>
          <w:sz w:val="32"/>
          <w:szCs w:val="32"/>
          <w:shd w:val="pct10" w:color="auto" w:fill="FFFFFF"/>
        </w:rPr>
        <w:t>。根据《关于开展2018年度财政专项资金部门绩效自评价工作的通知》（石财绩</w:t>
      </w:r>
      <w:r>
        <w:rPr>
          <w:rFonts w:hint="eastAsia" w:ascii="宋体" w:hAnsi="宋体" w:cs="宋体"/>
          <w:sz w:val="32"/>
          <w:szCs w:val="32"/>
          <w:shd w:val="pct10" w:color="auto" w:fill="FFFFFF"/>
        </w:rPr>
        <w:t>[2019]</w:t>
      </w:r>
      <w:r>
        <w:rPr>
          <w:rFonts w:hint="eastAsia" w:ascii="仿宋_GB2312" w:eastAsia="仿宋_GB2312" w:cs="DengXian-Regular"/>
          <w:sz w:val="32"/>
          <w:szCs w:val="32"/>
          <w:shd w:val="pct10" w:color="auto" w:fill="FFFFFF"/>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FF0000"/>
          <w:sz w:val="32"/>
          <w:szCs w:val="32"/>
          <w:shd w:val="pct10" w:color="auto" w:fill="FFFFFF"/>
        </w:rPr>
        <w:t>良好。</w:t>
      </w:r>
    </w:p>
    <w:p w14:paraId="353E27A1">
      <w:pPr>
        <w:adjustRightInd w:val="0"/>
        <w:snapToGrid w:val="0"/>
        <w:spacing w:after="0" w:line="500" w:lineRule="exact"/>
        <w:ind w:firstLine="640" w:firstLineChars="200"/>
        <w:rPr>
          <w:rFonts w:ascii="仿宋_GB2312" w:cs="DengXian-Regular" w:eastAsiaTheme="minorEastAsia"/>
          <w:sz w:val="32"/>
          <w:szCs w:val="32"/>
          <w:shd w:val="pct10" w:color="auto" w:fill="FFFFFF"/>
        </w:rPr>
      </w:pPr>
      <w:r>
        <w:rPr>
          <w:rFonts w:hint="eastAsia" w:ascii="仿宋_GB2312" w:eastAsia="仿宋_GB2312" w:cs="DengXian-Regular"/>
          <w:sz w:val="32"/>
          <w:szCs w:val="32"/>
          <w:shd w:val="pct10" w:color="auto" w:fill="FFFFFF"/>
        </w:rPr>
        <w:t>（二）预算项目绩效评价开展情况</w:t>
      </w:r>
      <w:r>
        <w:rPr>
          <w:rFonts w:hint="eastAsia" w:ascii="仿宋_GB2312" w:cs="DengXian-Regular" w:eastAsiaTheme="minorEastAsia"/>
          <w:sz w:val="32"/>
          <w:szCs w:val="32"/>
          <w:shd w:val="pct10" w:color="auto" w:fill="FFFFFF"/>
        </w:rPr>
        <w:t xml:space="preserve"> 提高财政资金使用效益更好的进行预算安排，牢固树立“花钱必问效，无效必问责”的重要思想和理念。对本单位所有项目全部纳入项目支出绩效评价。</w:t>
      </w:r>
      <w:r>
        <w:rPr>
          <w:rFonts w:hint="eastAsia" w:ascii="仿宋_GB2312" w:eastAsia="仿宋_GB2312" w:cs="DengXian-Regular"/>
          <w:sz w:val="32"/>
          <w:szCs w:val="32"/>
          <w:shd w:val="pct10" w:color="auto" w:fill="FFFFFF"/>
        </w:rPr>
        <w:t>根据预算绩效管理要求，本单位组织对201</w:t>
      </w:r>
      <w:r>
        <w:rPr>
          <w:rFonts w:hint="eastAsia" w:ascii="仿宋_GB2312" w:cs="DengXian-Regular" w:eastAsiaTheme="minorEastAsia"/>
          <w:sz w:val="32"/>
          <w:szCs w:val="32"/>
          <w:shd w:val="pct10" w:color="auto" w:fill="FFFFFF"/>
        </w:rPr>
        <w:t>8</w:t>
      </w:r>
      <w:r>
        <w:rPr>
          <w:rFonts w:hint="eastAsia" w:ascii="仿宋_GB2312" w:eastAsia="仿宋_GB2312" w:cs="DengXian-Regular"/>
          <w:sz w:val="32"/>
          <w:szCs w:val="32"/>
          <w:shd w:val="pct10" w:color="auto" w:fill="FFFFFF"/>
        </w:rPr>
        <w:t>年度一般公共预算项目支出全面开展绩效自评，涉及</w:t>
      </w:r>
      <w:r>
        <w:rPr>
          <w:rFonts w:hint="eastAsia" w:ascii="仿宋_GB2312" w:cs="DengXian-Regular" w:eastAsiaTheme="minorEastAsia"/>
          <w:sz w:val="32"/>
          <w:szCs w:val="32"/>
          <w:shd w:val="pct10" w:color="auto" w:fill="FFFFFF"/>
        </w:rPr>
        <w:t>廉租住房、棚户区改造、公共租赁住房</w:t>
      </w:r>
      <w:r>
        <w:rPr>
          <w:rFonts w:hint="eastAsia" w:ascii="仿宋_GB2312" w:eastAsia="仿宋_GB2312" w:cs="DengXian-Regular"/>
          <w:sz w:val="32"/>
          <w:szCs w:val="32"/>
          <w:shd w:val="pct10" w:color="auto" w:fill="FFFFFF"/>
        </w:rPr>
        <w:t>等</w:t>
      </w:r>
      <w:r>
        <w:rPr>
          <w:rFonts w:hint="eastAsia" w:ascii="仿宋_GB2312" w:cs="DengXian-Regular" w:eastAsiaTheme="minorEastAsia"/>
          <w:sz w:val="32"/>
          <w:szCs w:val="32"/>
          <w:shd w:val="pct10" w:color="auto" w:fill="FFFFFF"/>
        </w:rPr>
        <w:t>5</w:t>
      </w:r>
      <w:r>
        <w:rPr>
          <w:rFonts w:hint="eastAsia" w:ascii="仿宋_GB2312" w:eastAsia="仿宋_GB2312" w:cs="DengXian-Regular"/>
          <w:sz w:val="32"/>
          <w:szCs w:val="32"/>
          <w:shd w:val="pct10" w:color="auto" w:fill="FFFFFF"/>
        </w:rPr>
        <w:t>个项目，涉及资金</w:t>
      </w:r>
      <w:r>
        <w:rPr>
          <w:rFonts w:hint="eastAsia" w:ascii="仿宋_GB2312" w:cs="DengXian-Regular" w:eastAsiaTheme="minorEastAsia"/>
          <w:sz w:val="32"/>
          <w:szCs w:val="32"/>
          <w:shd w:val="pct10" w:color="auto" w:fill="FFFFFF"/>
        </w:rPr>
        <w:t>608.7</w:t>
      </w:r>
      <w:r>
        <w:rPr>
          <w:rFonts w:hint="eastAsia" w:ascii="宋体" w:hAnsi="宋体" w:cs="宋体"/>
          <w:sz w:val="32"/>
          <w:szCs w:val="32"/>
          <w:shd w:val="pct10" w:color="auto" w:fill="FFFFFF"/>
        </w:rPr>
        <w:t>9</w:t>
      </w:r>
      <w:r>
        <w:rPr>
          <w:rFonts w:hint="eastAsia" w:ascii="仿宋_GB2312" w:eastAsia="仿宋_GB2312" w:cs="DengXian-Regular"/>
          <w:sz w:val="32"/>
          <w:szCs w:val="32"/>
          <w:shd w:val="pct10" w:color="auto" w:fill="FFFFFF"/>
        </w:rPr>
        <w:t>万元。从评价情况看，评价结果为优秀的项目有</w:t>
      </w:r>
      <w:r>
        <w:rPr>
          <w:rFonts w:hint="eastAsia" w:ascii="仿宋_GB2312" w:cs="DengXian-Regular" w:eastAsiaTheme="minorEastAsia"/>
          <w:sz w:val="32"/>
          <w:szCs w:val="32"/>
          <w:shd w:val="pct10" w:color="auto" w:fill="FFFFFF"/>
        </w:rPr>
        <w:t>0</w:t>
      </w:r>
      <w:r>
        <w:rPr>
          <w:rFonts w:hint="eastAsia" w:ascii="仿宋_GB2312" w:eastAsia="仿宋_GB2312" w:cs="DengXian-Regular"/>
          <w:sz w:val="32"/>
          <w:szCs w:val="32"/>
          <w:shd w:val="pct10" w:color="auto" w:fill="FFFFFF"/>
        </w:rPr>
        <w:t>个，良好的项目有</w:t>
      </w:r>
      <w:r>
        <w:rPr>
          <w:rFonts w:hint="eastAsia" w:ascii="仿宋_GB2312" w:cs="DengXian-Regular" w:eastAsiaTheme="minorEastAsia"/>
          <w:sz w:val="32"/>
          <w:szCs w:val="32"/>
          <w:shd w:val="pct10" w:color="auto" w:fill="FFFFFF"/>
        </w:rPr>
        <w:t>5</w:t>
      </w:r>
      <w:r>
        <w:rPr>
          <w:rFonts w:hint="eastAsia" w:ascii="仿宋_GB2312" w:eastAsia="仿宋_GB2312" w:cs="DengXian-Regular"/>
          <w:sz w:val="32"/>
          <w:szCs w:val="32"/>
          <w:shd w:val="pct10" w:color="auto" w:fill="FFFFFF"/>
        </w:rPr>
        <w:t>个，一般的项目有</w:t>
      </w:r>
      <w:r>
        <w:rPr>
          <w:rFonts w:hint="eastAsia" w:ascii="仿宋_GB2312" w:cs="DengXian-Regular" w:eastAsiaTheme="minorEastAsia"/>
          <w:sz w:val="32"/>
          <w:szCs w:val="32"/>
          <w:shd w:val="pct10" w:color="auto" w:fill="FFFFFF"/>
        </w:rPr>
        <w:t>0</w:t>
      </w:r>
      <w:r>
        <w:rPr>
          <w:rFonts w:hint="eastAsia" w:ascii="仿宋_GB2312" w:eastAsia="仿宋_GB2312" w:cs="DengXian-Regular"/>
          <w:sz w:val="32"/>
          <w:szCs w:val="32"/>
          <w:shd w:val="pct10" w:color="auto" w:fill="FFFFFF"/>
        </w:rPr>
        <w:t>个。</w:t>
      </w:r>
      <w:r>
        <w:rPr>
          <w:rFonts w:hint="eastAsia" w:ascii="仿宋_GB2312" w:cs="DengXian-Regular" w:eastAsiaTheme="minorEastAsia"/>
          <w:sz w:val="32"/>
          <w:szCs w:val="32"/>
          <w:shd w:val="pct10" w:color="auto" w:fill="FFFFFF"/>
        </w:rPr>
        <w:t>所有评价项目</w:t>
      </w:r>
      <w:r>
        <w:rPr>
          <w:rFonts w:hint="eastAsia" w:ascii="仿宋_GB2312" w:eastAsia="仿宋_GB2312" w:cs="DengXian-Regular"/>
          <w:sz w:val="32"/>
          <w:szCs w:val="32"/>
          <w:shd w:val="pct10" w:color="auto" w:fill="FFFFFF"/>
        </w:rPr>
        <w:t>必须有结果</w:t>
      </w:r>
      <w:r>
        <w:rPr>
          <w:rFonts w:hint="eastAsia" w:ascii="仿宋_GB2312" w:cs="DengXian-Regular" w:eastAsiaTheme="minorEastAsia"/>
          <w:sz w:val="32"/>
          <w:szCs w:val="32"/>
          <w:shd w:val="pct10" w:color="auto" w:fill="FFFFFF"/>
        </w:rPr>
        <w:t>。</w:t>
      </w:r>
    </w:p>
    <w:p w14:paraId="74DF8377">
      <w:pPr>
        <w:adjustRightInd w:val="0"/>
        <w:snapToGrid w:val="0"/>
        <w:spacing w:after="0" w:line="500" w:lineRule="exact"/>
        <w:ind w:firstLine="640" w:firstLineChars="200"/>
        <w:rPr>
          <w:rFonts w:ascii="仿宋_GB2312" w:cs="DengXian-Regular" w:eastAsiaTheme="minorEastAsia"/>
          <w:sz w:val="32"/>
          <w:szCs w:val="32"/>
          <w:shd w:val="pct10" w:color="auto" w:fill="FFFFFF"/>
        </w:rPr>
      </w:pPr>
      <w:r>
        <w:rPr>
          <w:rFonts w:hint="eastAsia" w:ascii="仿宋_GB2312" w:eastAsia="仿宋_GB2312" w:cs="DengXian-Regular"/>
          <w:sz w:val="32"/>
          <w:szCs w:val="32"/>
          <w:shd w:val="pct10" w:color="auto" w:fill="FFFFFF"/>
        </w:rPr>
        <w:t>（三）预算项目绩效自评选例</w:t>
      </w:r>
    </w:p>
    <w:p w14:paraId="24398A58">
      <w:pPr>
        <w:adjustRightInd w:val="0"/>
        <w:snapToGrid w:val="0"/>
        <w:spacing w:after="0" w:line="500" w:lineRule="exact"/>
        <w:ind w:firstLine="640" w:firstLineChars="200"/>
        <w:rPr>
          <w:rFonts w:ascii="仿宋_GB2312" w:cs="DengXian-Regular" w:eastAsiaTheme="minorEastAsia"/>
          <w:sz w:val="32"/>
          <w:szCs w:val="32"/>
          <w:shd w:val="pct10" w:color="auto" w:fill="FFFFFF"/>
        </w:rPr>
      </w:pPr>
      <w:r>
        <w:rPr>
          <w:rFonts w:hint="eastAsia" w:ascii="仿宋_GB2312" w:eastAsia="仿宋_GB2312" w:cs="DengXian-Regular"/>
          <w:sz w:val="32"/>
          <w:szCs w:val="32"/>
          <w:shd w:val="pct10" w:color="auto" w:fill="FFFFFF"/>
        </w:rPr>
        <w:t>本单位</w:t>
      </w:r>
      <w:r>
        <w:rPr>
          <w:rFonts w:hint="eastAsia" w:ascii="仿宋_GB2312" w:cs="DengXian-Regular" w:eastAsiaTheme="minorEastAsia"/>
          <w:sz w:val="32"/>
          <w:szCs w:val="32"/>
          <w:shd w:val="pct10" w:color="auto" w:fill="FFFFFF"/>
        </w:rPr>
        <w:t>棚户区改造</w:t>
      </w:r>
      <w:r>
        <w:rPr>
          <w:rFonts w:hint="eastAsia" w:ascii="仿宋_GB2312" w:eastAsia="仿宋_GB2312" w:cs="DengXian-Regular"/>
          <w:sz w:val="32"/>
          <w:szCs w:val="32"/>
          <w:shd w:val="pct10" w:color="auto" w:fill="FFFFFF"/>
        </w:rPr>
        <w:t>项目绩效自评：根据年初设定的绩效目标，</w:t>
      </w:r>
      <w:r>
        <w:rPr>
          <w:rFonts w:hint="eastAsia" w:ascii="仿宋_GB2312" w:cs="DengXian-Regular" w:eastAsiaTheme="minorEastAsia"/>
          <w:sz w:val="32"/>
          <w:szCs w:val="32"/>
          <w:shd w:val="pct10" w:color="auto" w:fill="FFFFFF"/>
        </w:rPr>
        <w:t>棚户区改造</w:t>
      </w:r>
      <w:r>
        <w:rPr>
          <w:rFonts w:hint="eastAsia" w:ascii="仿宋_GB2312" w:eastAsia="仿宋_GB2312" w:cs="DengXian-Regular"/>
          <w:sz w:val="32"/>
          <w:szCs w:val="32"/>
          <w:shd w:val="pct10" w:color="auto" w:fill="FFFFFF"/>
        </w:rPr>
        <w:t>项目绩效自评结果为良好。项目全年预算数为</w:t>
      </w:r>
      <w:r>
        <w:rPr>
          <w:rFonts w:hint="eastAsia" w:ascii="宋体" w:hAnsi="宋体" w:cs="宋体"/>
          <w:sz w:val="32"/>
          <w:szCs w:val="32"/>
          <w:shd w:val="pct10" w:color="auto" w:fill="FFFFFF"/>
        </w:rPr>
        <w:t>906.09</w:t>
      </w:r>
      <w:r>
        <w:rPr>
          <w:rFonts w:hint="eastAsia" w:ascii="仿宋_GB2312" w:eastAsia="仿宋_GB2312" w:cs="DengXian-Regular"/>
          <w:sz w:val="32"/>
          <w:szCs w:val="32"/>
          <w:shd w:val="pct10" w:color="auto" w:fill="FFFFFF"/>
        </w:rPr>
        <w:t>万元，执行数为</w:t>
      </w:r>
      <w:r>
        <w:rPr>
          <w:rFonts w:hint="eastAsia" w:ascii="仿宋_GB2312" w:cs="DengXian-Regular" w:eastAsiaTheme="minorEastAsia"/>
          <w:sz w:val="32"/>
          <w:szCs w:val="32"/>
          <w:shd w:val="pct10" w:color="auto" w:fill="FFFFFF"/>
        </w:rPr>
        <w:t>44</w:t>
      </w:r>
      <w:r>
        <w:rPr>
          <w:rFonts w:hint="eastAsia" w:ascii="宋体" w:hAnsi="宋体" w:cs="宋体"/>
          <w:sz w:val="32"/>
          <w:szCs w:val="32"/>
          <w:shd w:val="pct10" w:color="auto" w:fill="FFFFFF"/>
        </w:rPr>
        <w:t>9.09</w:t>
      </w:r>
      <w:r>
        <w:rPr>
          <w:rFonts w:hint="eastAsia" w:ascii="仿宋_GB2312" w:eastAsia="仿宋_GB2312" w:cs="DengXian-Regular"/>
          <w:sz w:val="32"/>
          <w:szCs w:val="32"/>
          <w:shd w:val="pct10" w:color="auto" w:fill="FFFFFF"/>
        </w:rPr>
        <w:t>万元，完成预算的</w:t>
      </w:r>
      <w:r>
        <w:rPr>
          <w:rFonts w:hint="eastAsia" w:ascii="仿宋_GB2312" w:cs="DengXian-Regular" w:eastAsiaTheme="minorEastAsia"/>
          <w:sz w:val="32"/>
          <w:szCs w:val="32"/>
          <w:shd w:val="pct10" w:color="auto" w:fill="FFFFFF"/>
        </w:rPr>
        <w:t>4</w:t>
      </w:r>
      <w:r>
        <w:rPr>
          <w:rFonts w:hint="eastAsia" w:ascii="宋体" w:hAnsi="宋体" w:cs="宋体"/>
          <w:sz w:val="32"/>
          <w:szCs w:val="32"/>
          <w:shd w:val="pct10" w:color="auto" w:fill="FFFFFF"/>
        </w:rPr>
        <w:t>9.56</w:t>
      </w:r>
      <w:r>
        <w:rPr>
          <w:rFonts w:hint="eastAsia" w:ascii="仿宋_GB2312" w:eastAsia="仿宋_GB2312" w:cs="DengXian-Regular"/>
          <w:sz w:val="32"/>
          <w:szCs w:val="32"/>
          <w:shd w:val="pct10" w:color="auto" w:fill="FFFFFF"/>
        </w:rPr>
        <w:t>%。主要产出和效果是</w:t>
      </w:r>
      <w:r>
        <w:rPr>
          <w:rFonts w:hint="eastAsia" w:ascii="仿宋_GB2312" w:cs="DengXian-Regular" w:eastAsiaTheme="minorEastAsia"/>
          <w:sz w:val="32"/>
          <w:szCs w:val="32"/>
          <w:shd w:val="pct10" w:color="auto" w:fill="FFFFFF"/>
        </w:rPr>
        <w:t>大力改善了棚户区居民的住房条件，提高了他们的生活质量</w:t>
      </w:r>
      <w:r>
        <w:rPr>
          <w:rFonts w:hint="eastAsia" w:ascii="仿宋_GB2312" w:eastAsia="仿宋_GB2312" w:cs="DengXian-Regular"/>
          <w:sz w:val="32"/>
          <w:szCs w:val="32"/>
          <w:shd w:val="pct10" w:color="auto" w:fill="FFFFFF"/>
        </w:rPr>
        <w:t>。</w:t>
      </w:r>
      <w:r>
        <w:rPr>
          <w:rFonts w:hint="eastAsia" w:ascii="仿宋_GB2312" w:cs="DengXian-Regular" w:eastAsiaTheme="minorEastAsia"/>
          <w:sz w:val="32"/>
          <w:szCs w:val="32"/>
          <w:shd w:val="pct10" w:color="auto" w:fill="FFFFFF"/>
        </w:rPr>
        <w:t>存在问题;1,预算绩效管理的理念还需强化。2，在财政支出整体处于压缩状态下，要实现根据绩效评价结果进行预算调整的作用存在现实困难。解决问题措施：1，充分调动管理部门和资金使用部门参与预算绩效管理的积极性及各部门的主体责任。2，加强绩效评价结果应用，促进各部门对绩效管理工作的重视。ys</w:t>
      </w:r>
    </w:p>
    <w:p w14:paraId="03F8DD2E">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55C41812">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7BB40933">
      <w:pPr>
        <w:adjustRightInd w:val="0"/>
        <w:snapToGrid w:val="0"/>
        <w:spacing w:after="0" w:line="580" w:lineRule="exact"/>
        <w:ind w:firstLine="800" w:firstLineChars="250"/>
        <w:rPr>
          <w:rFonts w:ascii="仿宋_GB2312" w:cs="DengXian-Regular" w:eastAsiaTheme="minorEastAsia"/>
          <w:sz w:val="32"/>
          <w:szCs w:val="32"/>
        </w:rPr>
      </w:pPr>
      <w:r>
        <w:rPr>
          <w:rFonts w:hint="eastAsia" w:ascii="仿宋_GB2312" w:eastAsia="仿宋_GB2312" w:cs="DengXian-Regular"/>
          <w:sz w:val="32"/>
          <w:szCs w:val="32"/>
        </w:rPr>
        <w:t>本部门2018年度机关运行经费支出</w:t>
      </w:r>
      <w:r>
        <w:rPr>
          <w:rFonts w:hint="eastAsia" w:ascii="仿宋_GB2312" w:cs="DengXian-Regular" w:eastAsiaTheme="minorEastAsia"/>
          <w:sz w:val="32"/>
          <w:szCs w:val="32"/>
        </w:rPr>
        <w:t>0</w:t>
      </w:r>
      <w:r>
        <w:rPr>
          <w:rFonts w:hint="eastAsia" w:ascii="仿宋_GB2312" w:eastAsia="仿宋_GB2312" w:cs="DengXian-Regular"/>
          <w:sz w:val="32"/>
          <w:szCs w:val="32"/>
        </w:rPr>
        <w:t>万元，比年初预算数增加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_GB2312" w:eastAsia="仿宋_GB2312" w:cs="DengXian-Regular"/>
          <w:sz w:val="32"/>
          <w:szCs w:val="32"/>
        </w:rPr>
        <w:t>%。主要原因是</w:t>
      </w:r>
      <w:r>
        <w:rPr>
          <w:rFonts w:hint="eastAsia" w:ascii="仿宋_GB2312" w:cs="DengXian-Regular" w:eastAsiaTheme="minorEastAsia"/>
          <w:sz w:val="32"/>
          <w:szCs w:val="32"/>
        </w:rPr>
        <w:t>本单位是自收自支事业单位</w:t>
      </w:r>
      <w:r>
        <w:rPr>
          <w:sz w:val="44"/>
        </w:rPr>
        <w:pict>
          <v:group id="_x0000_s1040" o:spid="_x0000_s1040" o:spt="203" style="position:absolute;left:0pt;margin-left:-0.55pt;margin-top:29.3pt;height:43.95pt;width:301.85pt;mso-position-horizontal-relative:page;mso-position-vertical-relative:page;z-index:25168076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BJ+ys7bAAAACwEAAA8AAAAAAAAAAQAgAAAAIgAAAGRycy9kb3ducmV2LnhtbFBLAQIU&#10;ABQAAAAIAIdO4kAWmu5kRgMAADwJAAAOAAAAAAAAAAEAIAAAACoBAABkcnMvZTJvRG9jLnhtbFBL&#10;BQYAAAAABgAGAFkBAADiBgAAAAA=&#10;">
            <o:lock v:ext="edit"/>
            <v:rect id="矩形 13" o:spid="_x0000_s1042" o:spt="1" style="position:absolute;left:4551;top:52615;height:1175;width:8546;v-text-anchor:middle;" fillcolor="#D9D9D9" filled="t" stroked="f" coordsize="21600,21600" o:gfxdata="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HyIM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1" o:spt="1" style="position:absolute;left:4577;top:52890;height:1123;width:8324;v-text-anchor:middle;" fillcolor="#AD002D" filled="t" stroked="t" coordsize="21600,21600" o:gfxdata="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TbzR7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14:paraId="3113D49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27F00AAF">
                    <w:pPr>
                      <w:jc w:val="center"/>
                    </w:pPr>
                  </w:p>
                </w:txbxContent>
              </v:textbox>
            </v:rect>
            <w10:anchorlock/>
          </v:group>
        </w:pict>
      </w:r>
      <w:r>
        <w:rPr>
          <w:rFonts w:hint="eastAsia" w:ascii="仿宋_GB2312" w:cs="DengXian-Regular" w:eastAsiaTheme="minorEastAsia"/>
          <w:sz w:val="32"/>
          <w:szCs w:val="32"/>
        </w:rPr>
        <w:t>，非行政机关。</w:t>
      </w:r>
    </w:p>
    <w:p w14:paraId="12CF5610">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5D3F0979">
      <w:pPr>
        <w:widowControl/>
        <w:spacing w:after="0" w:line="580" w:lineRule="exact"/>
        <w:ind w:firstLine="800" w:firstLineChars="250"/>
        <w:jc w:val="left"/>
        <w:rPr>
          <w:rFonts w:ascii="仿宋_GB2312" w:cs="DengXian-Regular" w:eastAsiaTheme="minorEastAsia"/>
          <w:sz w:val="32"/>
          <w:szCs w:val="32"/>
        </w:rPr>
      </w:pPr>
      <w:r>
        <w:rPr>
          <w:rFonts w:hint="eastAsia" w:ascii="仿宋_GB2312" w:eastAsia="仿宋_GB2312" w:cs="DengXian-Regular"/>
          <w:sz w:val="32"/>
          <w:szCs w:val="32"/>
        </w:rPr>
        <w:t>本部门2018年度政府采购支出总额</w:t>
      </w:r>
      <w:r>
        <w:rPr>
          <w:rFonts w:hint="eastAsia" w:ascii="仿宋_GB2312" w:cs="DengXian-Regular" w:eastAsiaTheme="minorEastAsia"/>
          <w:sz w:val="32"/>
          <w:szCs w:val="32"/>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cs="仿宋_GB2312" w:eastAsiaTheme="minorEastAsia"/>
          <w:color w:val="000000"/>
          <w:kern w:val="0"/>
          <w:sz w:val="32"/>
          <w:szCs w:val="32"/>
        </w:rPr>
        <w:t>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w:t>
      </w:r>
    </w:p>
    <w:p w14:paraId="6966B205">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7954496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cs="DengXian-Regular" w:eastAsiaTheme="minorEastAsia"/>
          <w:sz w:val="32"/>
          <w:szCs w:val="32"/>
        </w:rPr>
        <w:t>0</w:t>
      </w:r>
      <w:r>
        <w:rPr>
          <w:rFonts w:hint="eastAsia" w:ascii="仿宋_GB2312" w:eastAsia="仿宋_GB2312" w:cs="DengXian-Regular"/>
          <w:sz w:val="32"/>
          <w:szCs w:val="32"/>
        </w:rPr>
        <w:t>辆，比上年增加</w:t>
      </w:r>
      <w:r>
        <w:rPr>
          <w:rFonts w:hint="eastAsia" w:ascii="仿宋_GB2312" w:cs="DengXian-Regular" w:eastAsiaTheme="minorEastAsia"/>
          <w:sz w:val="32"/>
          <w:szCs w:val="32"/>
        </w:rPr>
        <w:t>0</w:t>
      </w:r>
      <w:r>
        <w:rPr>
          <w:rFonts w:hint="eastAsia" w:ascii="仿宋_GB2312" w:eastAsia="仿宋_GB2312" w:cs="DengXian-Regular"/>
          <w:sz w:val="32"/>
          <w:szCs w:val="32"/>
        </w:rPr>
        <w:t>辆，主要是</w:t>
      </w:r>
      <w:r>
        <w:rPr>
          <w:rFonts w:hint="eastAsia" w:ascii="仿宋_GB2312" w:cs="DengXian-Regular" w:eastAsiaTheme="minorEastAsia"/>
          <w:sz w:val="32"/>
          <w:szCs w:val="32"/>
        </w:rPr>
        <w:t>本单位无公务用车</w:t>
      </w:r>
      <w:r>
        <w:rPr>
          <w:rFonts w:hint="eastAsia" w:ascii="仿宋_GB2312" w:eastAsia="仿宋_GB2312" w:cs="DengXian-Regular"/>
          <w:sz w:val="32"/>
          <w:szCs w:val="32"/>
        </w:rPr>
        <w:t>。其中，副部（省）级及以上领导用车</w:t>
      </w:r>
      <w:r>
        <w:rPr>
          <w:rFonts w:hint="eastAsia" w:ascii="仿宋_GB2312" w:cs="DengXian-Regular" w:eastAsiaTheme="minorEastAsia"/>
          <w:sz w:val="32"/>
          <w:szCs w:val="32"/>
        </w:rPr>
        <w:t>0</w:t>
      </w:r>
      <w:r>
        <w:rPr>
          <w:rFonts w:hint="eastAsia" w:ascii="仿宋_GB2312" w:eastAsia="仿宋_GB2312" w:cs="DengXian-Regular"/>
          <w:sz w:val="32"/>
          <w:szCs w:val="32"/>
        </w:rPr>
        <w:t>辆，主要领导干部用车</w:t>
      </w:r>
      <w:r>
        <w:rPr>
          <w:rFonts w:hint="eastAsia" w:ascii="仿宋_GB2312" w:cs="DengXian-Regular" w:eastAsiaTheme="minorEastAsia"/>
          <w:sz w:val="32"/>
          <w:szCs w:val="32"/>
        </w:rPr>
        <w:t>0.</w:t>
      </w:r>
      <w:r>
        <w:rPr>
          <w:rFonts w:hint="eastAsia" w:ascii="仿宋_GB2312" w:eastAsia="仿宋_GB2312" w:cs="DengXian-Regular"/>
          <w:sz w:val="32"/>
          <w:szCs w:val="32"/>
        </w:rPr>
        <w:t>辆，机要通信用车</w:t>
      </w:r>
      <w:r>
        <w:rPr>
          <w:rFonts w:hint="eastAsia" w:ascii="仿宋_GB2312" w:cs="DengXian-Regular" w:eastAsiaTheme="minorEastAsia"/>
          <w:sz w:val="32"/>
          <w:szCs w:val="32"/>
        </w:rPr>
        <w:t>0</w:t>
      </w:r>
      <w:r>
        <w:rPr>
          <w:rFonts w:hint="eastAsia" w:ascii="仿宋_GB2312" w:eastAsia="仿宋_GB2312" w:cs="DengXian-Regular"/>
          <w:sz w:val="32"/>
          <w:szCs w:val="32"/>
        </w:rPr>
        <w:t>辆，应急保障用车</w:t>
      </w:r>
      <w:r>
        <w:rPr>
          <w:rFonts w:hint="eastAsia" w:ascii="仿宋_GB2312" w:cs="DengXian-Regular" w:eastAsiaTheme="minorEastAsia"/>
          <w:sz w:val="32"/>
          <w:szCs w:val="32"/>
        </w:rPr>
        <w:t>0</w:t>
      </w:r>
      <w:r>
        <w:rPr>
          <w:rFonts w:hint="eastAsia" w:ascii="仿宋_GB2312" w:eastAsia="仿宋_GB2312" w:cs="DengXian-Regular"/>
          <w:sz w:val="32"/>
          <w:szCs w:val="32"/>
        </w:rPr>
        <w:t>辆，执法执勤用车</w:t>
      </w:r>
      <w:r>
        <w:rPr>
          <w:rFonts w:hint="eastAsia" w:ascii="仿宋_GB2312" w:cs="DengXian-Regular" w:eastAsiaTheme="minorEastAsia"/>
          <w:sz w:val="32"/>
          <w:szCs w:val="32"/>
        </w:rPr>
        <w:t>0</w:t>
      </w:r>
      <w:r>
        <w:rPr>
          <w:rFonts w:hint="eastAsia" w:ascii="仿宋_GB2312" w:eastAsia="仿宋_GB2312" w:cs="DengXian-Regular"/>
          <w:sz w:val="32"/>
          <w:szCs w:val="32"/>
        </w:rPr>
        <w:t>辆，特种专业技术用车</w:t>
      </w:r>
      <w:r>
        <w:rPr>
          <w:rFonts w:hint="eastAsia" w:ascii="仿宋_GB2312" w:cs="DengXian-Regular" w:eastAsiaTheme="minorEastAsia"/>
          <w:sz w:val="32"/>
          <w:szCs w:val="32"/>
        </w:rPr>
        <w:t>0</w:t>
      </w:r>
      <w:r>
        <w:rPr>
          <w:rFonts w:hint="eastAsia" w:ascii="仿宋_GB2312" w:eastAsia="仿宋_GB2312" w:cs="DengXian-Regular"/>
          <w:sz w:val="32"/>
          <w:szCs w:val="32"/>
        </w:rPr>
        <w:t>辆，离退休干部用车</w:t>
      </w:r>
      <w:r>
        <w:rPr>
          <w:rFonts w:hint="eastAsia" w:ascii="仿宋_GB2312" w:cs="DengXian-Regular" w:eastAsiaTheme="minorEastAsia"/>
          <w:sz w:val="32"/>
          <w:szCs w:val="32"/>
        </w:rPr>
        <w:t>0</w:t>
      </w:r>
      <w:r>
        <w:rPr>
          <w:rFonts w:hint="eastAsia" w:ascii="仿宋_GB2312" w:eastAsia="仿宋_GB2312" w:cs="DengXian-Regular"/>
          <w:sz w:val="32"/>
          <w:szCs w:val="32"/>
        </w:rPr>
        <w:t>辆，其他用车</w:t>
      </w:r>
      <w:r>
        <w:rPr>
          <w:rFonts w:hint="eastAsia" w:ascii="仿宋_GB2312" w:cs="DengXian-Regular" w:eastAsiaTheme="minorEastAsia"/>
          <w:sz w:val="32"/>
          <w:szCs w:val="32"/>
        </w:rPr>
        <w:t>0</w:t>
      </w:r>
      <w:r>
        <w:rPr>
          <w:rFonts w:hint="eastAsia" w:ascii="仿宋_GB2312" w:eastAsia="仿宋_GB2312" w:cs="DengXian-Regular"/>
          <w:sz w:val="32"/>
          <w:szCs w:val="32"/>
        </w:rPr>
        <w:t>辆，其他用车主要是</w:t>
      </w:r>
      <w:r>
        <w:rPr>
          <w:rFonts w:hint="eastAsia" w:ascii="仿宋_GB2312" w:cs="DengXian-Regular" w:eastAsiaTheme="minorEastAsia"/>
          <w:sz w:val="32"/>
          <w:szCs w:val="32"/>
        </w:rPr>
        <w:t>无</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cs="DengXian-Regular" w:eastAsiaTheme="minorEastAsia"/>
          <w:sz w:val="32"/>
          <w:szCs w:val="32"/>
        </w:rPr>
        <w:t>0</w:t>
      </w:r>
      <w:r>
        <w:rPr>
          <w:rFonts w:hint="eastAsia" w:ascii="仿宋_GB2312" w:eastAsia="仿宋_GB2312" w:cs="DengXian-Regular"/>
          <w:sz w:val="32"/>
          <w:szCs w:val="32"/>
        </w:rPr>
        <w:t>台（套），比上年增加</w:t>
      </w:r>
      <w:r>
        <w:rPr>
          <w:rFonts w:hint="eastAsia" w:ascii="仿宋_GB2312" w:cs="DengXian-Regular" w:eastAsiaTheme="minorEastAsia"/>
          <w:sz w:val="32"/>
          <w:szCs w:val="32"/>
        </w:rPr>
        <w:t>0</w:t>
      </w:r>
      <w:r>
        <w:rPr>
          <w:rFonts w:hint="eastAsia" w:ascii="仿宋_GB2312" w:eastAsia="仿宋_GB2312" w:cs="DengXian-Regular"/>
          <w:sz w:val="32"/>
          <w:szCs w:val="32"/>
        </w:rPr>
        <w:t>套，主要是</w:t>
      </w:r>
      <w:r>
        <w:rPr>
          <w:rFonts w:hint="eastAsia" w:ascii="仿宋_GB2312" w:cs="DengXian-Regular" w:eastAsiaTheme="minorEastAsia"/>
          <w:sz w:val="32"/>
          <w:szCs w:val="32"/>
        </w:rPr>
        <w:t>本单位无此类设备</w:t>
      </w:r>
      <w:r>
        <w:rPr>
          <w:rFonts w:hint="eastAsia" w:ascii="仿宋_GB2312"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cs="DengXian-Regular" w:eastAsiaTheme="minorEastAsia"/>
          <w:sz w:val="32"/>
          <w:szCs w:val="32"/>
        </w:rPr>
        <w:t>0</w:t>
      </w:r>
      <w:r>
        <w:rPr>
          <w:rFonts w:hint="eastAsia" w:ascii="仿宋_GB2312" w:eastAsia="仿宋_GB2312" w:cs="DengXian-Regular"/>
          <w:sz w:val="32"/>
          <w:szCs w:val="32"/>
        </w:rPr>
        <w:t>台（套）比上年增加</w:t>
      </w:r>
      <w:r>
        <w:rPr>
          <w:rFonts w:hint="eastAsia" w:ascii="仿宋_GB2312" w:cs="DengXian-Regular" w:eastAsiaTheme="minorEastAsia"/>
          <w:sz w:val="32"/>
          <w:szCs w:val="32"/>
        </w:rPr>
        <w:t>0</w:t>
      </w:r>
      <w:r>
        <w:rPr>
          <w:rFonts w:hint="eastAsia" w:ascii="仿宋_GB2312" w:eastAsia="仿宋_GB2312" w:cs="DengXian-Regular"/>
          <w:sz w:val="32"/>
          <w:szCs w:val="32"/>
        </w:rPr>
        <w:t>套,主要是</w:t>
      </w:r>
      <w:r>
        <w:rPr>
          <w:rFonts w:hint="eastAsia" w:ascii="仿宋_GB2312" w:cs="DengXian-Regular" w:eastAsiaTheme="minorEastAsia"/>
          <w:sz w:val="32"/>
          <w:szCs w:val="32"/>
        </w:rPr>
        <w:t>本单位无此类设备</w:t>
      </w:r>
      <w:r>
        <w:rPr>
          <w:rFonts w:hint="eastAsia" w:ascii="仿宋_GB2312" w:eastAsia="仿宋_GB2312" w:cs="DengXian-Regular"/>
          <w:sz w:val="32"/>
          <w:szCs w:val="32"/>
        </w:rPr>
        <w:t>。</w:t>
      </w:r>
    </w:p>
    <w:p w14:paraId="7EE6BCF5">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7D6AFE6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cs="DengXian-Regular" w:eastAsiaTheme="minorEastAsia"/>
          <w:sz w:val="32"/>
          <w:szCs w:val="32"/>
        </w:rPr>
        <w:t>“三公”经费、政府性基金、国有资本经营、政府采购</w:t>
      </w:r>
      <w:r>
        <w:rPr>
          <w:rFonts w:hint="eastAsia" w:ascii="仿宋_GB2312" w:eastAsia="仿宋_GB2312" w:cs="DengXian-Regular"/>
          <w:sz w:val="32"/>
          <w:szCs w:val="32"/>
        </w:rPr>
        <w:t>无收支及结转结余情况，故</w:t>
      </w:r>
      <w:r>
        <w:rPr>
          <w:rFonts w:hint="eastAsia" w:ascii="仿宋_GB2312" w:cs="DengXian-Regular" w:eastAsiaTheme="minorEastAsia"/>
          <w:sz w:val="32"/>
          <w:szCs w:val="32"/>
        </w:rPr>
        <w:t>“三公”经费、政府性基金、国有资本经营、政府采购</w:t>
      </w:r>
      <w:r>
        <w:rPr>
          <w:rFonts w:hint="eastAsia" w:ascii="仿宋_GB2312" w:eastAsia="仿宋_GB2312" w:cs="DengXian-Regular"/>
          <w:sz w:val="32"/>
          <w:szCs w:val="32"/>
        </w:rPr>
        <w:t>表以空表列示。</w:t>
      </w:r>
    </w:p>
    <w:p w14:paraId="6F62827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8179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z6gAj4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S&#10;fsrO2wAAAAsBAAAPAAAAAAAAAAEAIAAAACIAAABkcnMvZG93bnJldi54bWxQSwECFAAUAAAACACH&#10;TuJAvz6gAj4DAAA8CQAADgAAAAAAAAABACAAAAAqAQAAZHJzL2Uyb0RvYy54bWxQSwUGAAAAAAYA&#10;BgBZAQAA2gY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04E4587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7575F200">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14:paraId="5977BFB1">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0D6B93F5">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path/>
            <v:fill on="f" focussize="0,0"/>
            <v:stroke on="f" weight="0.5pt" joinstyle="miter"/>
            <v:imagedata o:title=""/>
            <o:lock v:ext="edit"/>
            <v:textbox>
              <w:txbxContent>
                <w:p w14:paraId="186AC19A">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2C71E680">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14:paraId="42C33DAA">
      <w:pPr>
        <w:rPr>
          <w:rFonts w:ascii="仿宋_GB2312" w:cs="MS-UIGothic,Bold" w:hAnsiTheme="majorEastAsia" w:eastAsiaTheme="minorEastAsia"/>
          <w:bCs/>
          <w:sz w:val="32"/>
          <w:szCs w:val="32"/>
        </w:rPr>
      </w:pPr>
    </w:p>
    <w:p w14:paraId="0492FF22">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7B1EA3D7">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3A459F2D">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48670A3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15B532DF">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745B0B37">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0A94AB1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1552;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688D6B5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ECE4041">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05D18E34">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722F11D3">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0B8DDFE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14:paraId="56805E9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14:paraId="65CD131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82816;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7C693A3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41EDAF5D">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14:paraId="5C696070">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8384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18FF64D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6E8372FC">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58904EB8">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287C8DE3">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242F421F">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AF6CC73">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14:paraId="2559C972">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2F2F7EE-7526-4A16-82E0-25C7AE2AFB1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A3AB8DB1-5885-497B-B8F8-ACEE63EE405E}"/>
  </w:font>
  <w:font w:name="楷体">
    <w:panose1 w:val="02010609060101010101"/>
    <w:charset w:val="86"/>
    <w:family w:val="modern"/>
    <w:pitch w:val="default"/>
    <w:sig w:usb0="800002BF" w:usb1="38CF7CFA" w:usb2="00000016" w:usb3="00000000" w:csb0="00040001" w:csb1="00000000"/>
    <w:embedRegular r:id="rId3" w:fontKey="{D69155E3-0052-4A10-B836-1AA79D232409}"/>
  </w:font>
  <w:font w:name="楷体_GB2312">
    <w:altName w:val="楷体"/>
    <w:panose1 w:val="00000000000000000000"/>
    <w:charset w:val="86"/>
    <w:family w:val="modern"/>
    <w:pitch w:val="default"/>
    <w:sig w:usb0="00000000" w:usb1="00000000" w:usb2="00000000" w:usb3="00000000" w:csb0="00000000" w:csb1="00000000"/>
    <w:embedRegular r:id="rId4" w:fontKey="{A7C96744-14AD-4B01-8DE8-180B4AE117A3}"/>
  </w:font>
  <w:font w:name="仿宋_GB2312">
    <w:altName w:val="仿宋"/>
    <w:panose1 w:val="00000000000000000000"/>
    <w:charset w:val="86"/>
    <w:family w:val="modern"/>
    <w:pitch w:val="default"/>
    <w:sig w:usb0="00000000" w:usb1="00000000" w:usb2="00000000" w:usb3="00000000" w:csb0="00000000" w:csb1="00000000"/>
    <w:embedRegular r:id="rId5" w:fontKey="{7A9422B5-FD06-4ADD-8884-648AFA4D8CBE}"/>
  </w:font>
  <w:font w:name="ArialUnicodeMS">
    <w:altName w:val="Malgun Gothic"/>
    <w:panose1 w:val="00000000000000000000"/>
    <w:charset w:val="81"/>
    <w:family w:val="auto"/>
    <w:pitch w:val="default"/>
    <w:sig w:usb0="00000000" w:usb1="00000000" w:usb2="00000010" w:usb3="00000000" w:csb0="00080001" w:csb1="00000000"/>
    <w:embedRegular r:id="rId6" w:fontKey="{B47E9C27-BE04-4B10-8509-FC43442209DE}"/>
  </w:font>
  <w:font w:name="MS-UIGothic,Bold">
    <w:altName w:val="Malgun Gothic"/>
    <w:panose1 w:val="00000000000000000000"/>
    <w:charset w:val="81"/>
    <w:family w:val="auto"/>
    <w:pitch w:val="default"/>
    <w:sig w:usb0="00000000" w:usb1="00000000" w:usb2="00000010" w:usb3="00000000" w:csb0="00080000" w:csb1="00000000"/>
    <w:embedRegular r:id="rId7" w:fontKey="{4AE16483-DE72-468C-806C-89E9D1DCBBC6}"/>
  </w:font>
  <w:font w:name="DengXian-Regular">
    <w:altName w:val="宋体"/>
    <w:panose1 w:val="00000000000000000000"/>
    <w:charset w:val="86"/>
    <w:family w:val="auto"/>
    <w:pitch w:val="default"/>
    <w:sig w:usb0="00000000" w:usb1="00000000" w:usb2="00000010" w:usb3="00000000" w:csb0="00040001" w:csb1="00000000"/>
    <w:embedRegular r:id="rId8" w:fontKey="{99A97492-0525-409A-92E1-469A9D039A9E}"/>
  </w:font>
  <w:font w:name="DengXian-Bold">
    <w:altName w:val="宋体"/>
    <w:panose1 w:val="00000000000000000000"/>
    <w:charset w:val="86"/>
    <w:family w:val="auto"/>
    <w:pitch w:val="default"/>
    <w:sig w:usb0="00000000" w:usb1="00000000" w:usb2="00000010" w:usb3="00000000" w:csb0="00040001" w:csb1="00000000"/>
    <w:embedRegular r:id="rId9" w:fontKey="{E9B81A72-CD5E-42EB-A539-EC90D532861A}"/>
  </w:font>
  <w:font w:name="TimesNewRomanPSMT">
    <w:altName w:val="Arial"/>
    <w:panose1 w:val="00000000000000000000"/>
    <w:charset w:val="00"/>
    <w:family w:val="swiss"/>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TMzZmIyODEyYmQwZGE2MGU2MDg2NjQ2ZDRlZTY2ODcifQ=="/>
  </w:docVars>
  <w:rsids>
    <w:rsidRoot w:val="003C1413"/>
    <w:rsid w:val="00006460"/>
    <w:rsid w:val="00020E5B"/>
    <w:rsid w:val="00023F01"/>
    <w:rsid w:val="00024E7F"/>
    <w:rsid w:val="000258FA"/>
    <w:rsid w:val="000475A0"/>
    <w:rsid w:val="00053A0F"/>
    <w:rsid w:val="0007450A"/>
    <w:rsid w:val="000838C3"/>
    <w:rsid w:val="00094978"/>
    <w:rsid w:val="000B2446"/>
    <w:rsid w:val="000D7C65"/>
    <w:rsid w:val="000E2F81"/>
    <w:rsid w:val="00117946"/>
    <w:rsid w:val="00117E2C"/>
    <w:rsid w:val="00123A8B"/>
    <w:rsid w:val="001357AF"/>
    <w:rsid w:val="001371FA"/>
    <w:rsid w:val="00146C47"/>
    <w:rsid w:val="00147894"/>
    <w:rsid w:val="00152FB8"/>
    <w:rsid w:val="00174774"/>
    <w:rsid w:val="00176658"/>
    <w:rsid w:val="00176A79"/>
    <w:rsid w:val="00177EC3"/>
    <w:rsid w:val="0018239E"/>
    <w:rsid w:val="00185D3B"/>
    <w:rsid w:val="00191A0E"/>
    <w:rsid w:val="001B3410"/>
    <w:rsid w:val="001B3704"/>
    <w:rsid w:val="001C030D"/>
    <w:rsid w:val="001C4A84"/>
    <w:rsid w:val="001D096D"/>
    <w:rsid w:val="001D1815"/>
    <w:rsid w:val="001E5902"/>
    <w:rsid w:val="00201B1F"/>
    <w:rsid w:val="00233705"/>
    <w:rsid w:val="002337BF"/>
    <w:rsid w:val="00275CA2"/>
    <w:rsid w:val="00286E66"/>
    <w:rsid w:val="002A65A5"/>
    <w:rsid w:val="002C04C4"/>
    <w:rsid w:val="002C309C"/>
    <w:rsid w:val="002D08B0"/>
    <w:rsid w:val="002D1AE3"/>
    <w:rsid w:val="002F2ECE"/>
    <w:rsid w:val="00312231"/>
    <w:rsid w:val="0033520A"/>
    <w:rsid w:val="00341C8F"/>
    <w:rsid w:val="0035463A"/>
    <w:rsid w:val="00361E6B"/>
    <w:rsid w:val="003744F6"/>
    <w:rsid w:val="003846AF"/>
    <w:rsid w:val="00391D9D"/>
    <w:rsid w:val="00391E1D"/>
    <w:rsid w:val="00397DFB"/>
    <w:rsid w:val="003A0458"/>
    <w:rsid w:val="003B6C51"/>
    <w:rsid w:val="003C1413"/>
    <w:rsid w:val="003C549F"/>
    <w:rsid w:val="003D5A16"/>
    <w:rsid w:val="003E7DB3"/>
    <w:rsid w:val="003F7EC9"/>
    <w:rsid w:val="004226FF"/>
    <w:rsid w:val="004244A8"/>
    <w:rsid w:val="0042548E"/>
    <w:rsid w:val="00431175"/>
    <w:rsid w:val="00432105"/>
    <w:rsid w:val="00461DAF"/>
    <w:rsid w:val="00470E3F"/>
    <w:rsid w:val="00490971"/>
    <w:rsid w:val="004953B7"/>
    <w:rsid w:val="00497D4C"/>
    <w:rsid w:val="004B5D2A"/>
    <w:rsid w:val="004B6E37"/>
    <w:rsid w:val="004C32BA"/>
    <w:rsid w:val="00500D58"/>
    <w:rsid w:val="00575922"/>
    <w:rsid w:val="005A18B2"/>
    <w:rsid w:val="005A6C90"/>
    <w:rsid w:val="005B352B"/>
    <w:rsid w:val="005E3FB0"/>
    <w:rsid w:val="005F4B66"/>
    <w:rsid w:val="005F5208"/>
    <w:rsid w:val="00611269"/>
    <w:rsid w:val="00641318"/>
    <w:rsid w:val="0064405D"/>
    <w:rsid w:val="00685302"/>
    <w:rsid w:val="00695557"/>
    <w:rsid w:val="006D4EA7"/>
    <w:rsid w:val="0070012A"/>
    <w:rsid w:val="0070664B"/>
    <w:rsid w:val="007071B8"/>
    <w:rsid w:val="00734FD4"/>
    <w:rsid w:val="007414DE"/>
    <w:rsid w:val="00741CAE"/>
    <w:rsid w:val="00746278"/>
    <w:rsid w:val="0077433F"/>
    <w:rsid w:val="0077481E"/>
    <w:rsid w:val="0077512A"/>
    <w:rsid w:val="007905A9"/>
    <w:rsid w:val="00792FFD"/>
    <w:rsid w:val="007E5500"/>
    <w:rsid w:val="007F055B"/>
    <w:rsid w:val="007F4101"/>
    <w:rsid w:val="007F77BE"/>
    <w:rsid w:val="0080644C"/>
    <w:rsid w:val="00811C2F"/>
    <w:rsid w:val="00833D46"/>
    <w:rsid w:val="00840A97"/>
    <w:rsid w:val="00857623"/>
    <w:rsid w:val="008C0149"/>
    <w:rsid w:val="008D5DED"/>
    <w:rsid w:val="008E25CA"/>
    <w:rsid w:val="008F34FC"/>
    <w:rsid w:val="00915C03"/>
    <w:rsid w:val="00930451"/>
    <w:rsid w:val="00944CD7"/>
    <w:rsid w:val="00961549"/>
    <w:rsid w:val="009724BF"/>
    <w:rsid w:val="00977714"/>
    <w:rsid w:val="009831B2"/>
    <w:rsid w:val="00993396"/>
    <w:rsid w:val="009A1ABE"/>
    <w:rsid w:val="009E21A4"/>
    <w:rsid w:val="009F22C6"/>
    <w:rsid w:val="00A07E50"/>
    <w:rsid w:val="00A15397"/>
    <w:rsid w:val="00A302DC"/>
    <w:rsid w:val="00A35CE0"/>
    <w:rsid w:val="00A42E10"/>
    <w:rsid w:val="00A4462E"/>
    <w:rsid w:val="00A44AA4"/>
    <w:rsid w:val="00A61623"/>
    <w:rsid w:val="00A6382E"/>
    <w:rsid w:val="00A729DD"/>
    <w:rsid w:val="00A751ED"/>
    <w:rsid w:val="00A77069"/>
    <w:rsid w:val="00A82714"/>
    <w:rsid w:val="00A84687"/>
    <w:rsid w:val="00A90445"/>
    <w:rsid w:val="00AB0A0E"/>
    <w:rsid w:val="00AB5F24"/>
    <w:rsid w:val="00AD3B6E"/>
    <w:rsid w:val="00AE05D9"/>
    <w:rsid w:val="00B02C54"/>
    <w:rsid w:val="00B1751F"/>
    <w:rsid w:val="00B33BAA"/>
    <w:rsid w:val="00B56722"/>
    <w:rsid w:val="00B74D39"/>
    <w:rsid w:val="00B86F6B"/>
    <w:rsid w:val="00B91DA4"/>
    <w:rsid w:val="00B93EE0"/>
    <w:rsid w:val="00BA0F0C"/>
    <w:rsid w:val="00BC6D76"/>
    <w:rsid w:val="00BD0016"/>
    <w:rsid w:val="00C12630"/>
    <w:rsid w:val="00C20AA7"/>
    <w:rsid w:val="00C34562"/>
    <w:rsid w:val="00C3774E"/>
    <w:rsid w:val="00C57456"/>
    <w:rsid w:val="00C65387"/>
    <w:rsid w:val="00C87FAB"/>
    <w:rsid w:val="00C905FE"/>
    <w:rsid w:val="00C91FF7"/>
    <w:rsid w:val="00C94E53"/>
    <w:rsid w:val="00CE6F9F"/>
    <w:rsid w:val="00CE74B9"/>
    <w:rsid w:val="00D0048E"/>
    <w:rsid w:val="00D015E0"/>
    <w:rsid w:val="00D23E7A"/>
    <w:rsid w:val="00D32615"/>
    <w:rsid w:val="00D56B10"/>
    <w:rsid w:val="00D61063"/>
    <w:rsid w:val="00D9398E"/>
    <w:rsid w:val="00D965CE"/>
    <w:rsid w:val="00D9752D"/>
    <w:rsid w:val="00DB272B"/>
    <w:rsid w:val="00DB35AF"/>
    <w:rsid w:val="00DB7987"/>
    <w:rsid w:val="00DC7DD3"/>
    <w:rsid w:val="00DD72D7"/>
    <w:rsid w:val="00DF5B88"/>
    <w:rsid w:val="00E004CE"/>
    <w:rsid w:val="00E01FC2"/>
    <w:rsid w:val="00E0589E"/>
    <w:rsid w:val="00E11EF3"/>
    <w:rsid w:val="00E13B68"/>
    <w:rsid w:val="00E1518A"/>
    <w:rsid w:val="00E241FA"/>
    <w:rsid w:val="00E2579F"/>
    <w:rsid w:val="00E2595E"/>
    <w:rsid w:val="00E30F6D"/>
    <w:rsid w:val="00E35374"/>
    <w:rsid w:val="00E50C19"/>
    <w:rsid w:val="00E57976"/>
    <w:rsid w:val="00E64655"/>
    <w:rsid w:val="00E73081"/>
    <w:rsid w:val="00E85679"/>
    <w:rsid w:val="00E856C9"/>
    <w:rsid w:val="00E93482"/>
    <w:rsid w:val="00EA3E0A"/>
    <w:rsid w:val="00EB6A8B"/>
    <w:rsid w:val="00EF38C6"/>
    <w:rsid w:val="00F14643"/>
    <w:rsid w:val="00F463B0"/>
    <w:rsid w:val="00F6277B"/>
    <w:rsid w:val="00F679C7"/>
    <w:rsid w:val="00F7711A"/>
    <w:rsid w:val="00FA0D58"/>
    <w:rsid w:val="00FA1620"/>
    <w:rsid w:val="00FA56F4"/>
    <w:rsid w:val="00FA5907"/>
    <w:rsid w:val="00FB4EDA"/>
    <w:rsid w:val="00FB6474"/>
    <w:rsid w:val="00FB6D9A"/>
    <w:rsid w:val="00FD0343"/>
    <w:rsid w:val="00FD3BD5"/>
    <w:rsid w:val="00FE3DC8"/>
    <w:rsid w:val="00FE71A4"/>
    <w:rsid w:val="04073F84"/>
    <w:rsid w:val="0B60750A"/>
    <w:rsid w:val="10686488"/>
    <w:rsid w:val="10DD611E"/>
    <w:rsid w:val="10DF728A"/>
    <w:rsid w:val="1264200E"/>
    <w:rsid w:val="141C5B77"/>
    <w:rsid w:val="18D8339D"/>
    <w:rsid w:val="1A21388F"/>
    <w:rsid w:val="1A570D2F"/>
    <w:rsid w:val="28FB0B8D"/>
    <w:rsid w:val="2A9870FC"/>
    <w:rsid w:val="2D2B7942"/>
    <w:rsid w:val="2D46481D"/>
    <w:rsid w:val="2E733B28"/>
    <w:rsid w:val="31852B5A"/>
    <w:rsid w:val="32D01238"/>
    <w:rsid w:val="3DFC59A8"/>
    <w:rsid w:val="3ECF245E"/>
    <w:rsid w:val="3FB96314"/>
    <w:rsid w:val="48794674"/>
    <w:rsid w:val="53A44FAF"/>
    <w:rsid w:val="566B009D"/>
    <w:rsid w:val="594329EC"/>
    <w:rsid w:val="5BEE1540"/>
    <w:rsid w:val="5DE61A5D"/>
    <w:rsid w:val="63C04243"/>
    <w:rsid w:val="649C01C7"/>
    <w:rsid w:val="699A3F60"/>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5.jpeg"/><Relationship Id="rId12" Type="http://schemas.openxmlformats.org/officeDocument/2006/relationships/chart" Target="charts/chart3.xml"/><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列1</c:v>
                </c:pt>
              </c:strCache>
            </c:strRef>
          </c:tx>
          <c:explosion val="0"/>
          <c:dPt>
            <c:idx val="0"/>
            <c:bubble3D val="0"/>
          </c:dPt>
          <c:dLbls>
            <c:dLbl>
              <c:idx val="0"/>
              <c:layout>
                <c:manualLayout>
                  <c:x val="-0.00638187743989262"/>
                  <c:y val="-0.506893542331976"/>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Sheet1!$A$2</c:f>
              <c:strCache>
                <c:ptCount val="1"/>
                <c:pt idx="0">
                  <c:v>财政拨款收入</c:v>
                </c:pt>
              </c:strCache>
            </c:strRef>
          </c:cat>
          <c:val>
            <c:numRef>
              <c:f>Sheet1!$B$2</c:f>
              <c:numCache>
                <c:formatCode>0%</c:formatCode>
                <c:ptCount val="1"/>
                <c:pt idx="0">
                  <c:v>1</c:v>
                </c:pt>
              </c:numCache>
            </c:numRef>
          </c:val>
        </c:ser>
        <c:dLbls>
          <c:showLegendKey val="0"/>
          <c:showVal val="0"/>
          <c:showCatName val="1"/>
          <c:showSerName val="0"/>
          <c:showPercent val="1"/>
          <c:showBubbleSize val="0"/>
        </c:dLbls>
      </c:pie3DChart>
    </c:plotArea>
    <c:plotVisOnly val="1"/>
    <c:dispBlanksAs val="gap"/>
    <c:showDLblsOverMax val="0"/>
  </c:chart>
  <c:spPr>
    <a:ln w="12700" cap="flat" cmpd="sng" algn="ctr">
      <a:no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列1</c:v>
                </c:pt>
              </c:strCache>
            </c:strRef>
          </c:tx>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0.00%</c:formatCode>
                <c:ptCount val="2"/>
                <c:pt idx="0">
                  <c:v>0.1115</c:v>
                </c:pt>
                <c:pt idx="1">
                  <c:v>0.8885</c:v>
                </c:pt>
              </c:numCache>
            </c:numRef>
          </c:val>
        </c:ser>
        <c:dLbls>
          <c:showLegendKey val="0"/>
          <c:showVal val="1"/>
          <c:showCatName val="1"/>
          <c:showSerName val="0"/>
          <c:showPercent val="0"/>
          <c:showBubbleSize val="0"/>
        </c:dLbls>
      </c:pie3DChart>
    </c:plotArea>
    <c:plotVisOnly val="1"/>
    <c:dispBlanksAs val="gap"/>
    <c:showDLblsOverMax val="0"/>
  </c:chart>
  <c:spPr>
    <a:ln w="12700" cap="flat" cmpd="sng" algn="ctr">
      <a:no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列1</c:v>
                </c:pt>
              </c:strCache>
            </c:strRef>
          </c:tx>
          <c:explosion val="0"/>
          <c:dPt>
            <c:idx val="0"/>
            <c:bubble3D val="0"/>
          </c:dPt>
          <c:dLbls>
            <c:dLbl>
              <c:idx val="0"/>
              <c:layout>
                <c:manualLayout>
                  <c:x val="-0.00638187743989263"/>
                  <c:y val="-0.506893542331976"/>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Sheet1!$A$2</c:f>
              <c:strCache>
                <c:ptCount val="1"/>
                <c:pt idx="0">
                  <c:v>住房保障（类）支出</c:v>
                </c:pt>
              </c:strCache>
            </c:strRef>
          </c:cat>
          <c:val>
            <c:numRef>
              <c:f>Sheet1!$B$2</c:f>
              <c:numCache>
                <c:formatCode>0%</c:formatCode>
                <c:ptCount val="1"/>
                <c:pt idx="0">
                  <c:v>1</c:v>
                </c:pt>
              </c:numCache>
            </c:numRef>
          </c:val>
        </c:ser>
        <c:dLbls>
          <c:showLegendKey val="0"/>
          <c:showVal val="0"/>
          <c:showCatName val="1"/>
          <c:showSerName val="0"/>
          <c:showPercent val="1"/>
          <c:showBubbleSize val="0"/>
        </c:dLbls>
      </c:pie3DChart>
    </c:plotArea>
    <c:plotVisOnly val="1"/>
    <c:dispBlanksAs val="gap"/>
    <c:showDLblsOverMax val="0"/>
  </c:chart>
  <c:spPr>
    <a:ln w="12700" cap="flat" cmpd="sng" algn="ctr">
      <a:no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082"/>
    <customShpInfo spid="_x0000_s1081"/>
    <customShpInfo spid="_x0000_s1080"/>
    <customShpInfo spid="_x0000_s1079"/>
    <customShpInfo spid="_x0000_s1077"/>
    <customShpInfo spid="_x0000_s1072"/>
    <customShpInfo spid="_x0000_s1071"/>
    <customShpInfo spid="_x0000_s1070"/>
    <customShpInfo spid="_x0000_s1074"/>
    <customShpInfo spid="_x0000_s1069"/>
    <customShpInfo spid="_x0000_s1068"/>
    <customShpInfo spid="_x0000_s1067"/>
    <customShpInfo spid="_x0000_s1065"/>
    <customShpInfo spid="_x0000_s1063"/>
    <customShpInfo spid="_x0000_s1062"/>
    <customShpInfo spid="_x0000_s1061"/>
    <customShpInfo spid="_x0000_s1059"/>
    <customShpInfo spid="_x0000_s1056"/>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C6CAB83-D923-4C98-B30A-470A078BA352}">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21</Pages>
  <Words>4934</Words>
  <Characters>5348</Characters>
  <Lines>39</Lines>
  <Paragraphs>11</Paragraphs>
  <TotalTime>56</TotalTime>
  <ScaleCrop>false</ScaleCrop>
  <LinksUpToDate>false</LinksUpToDate>
  <CharactersWithSpaces>5394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2021-05-25T07:27:00Z</dcterms:created>
  <dc:creator>User</dc:creator>
  <cp:lastModifiedBy> </cp:lastModifiedBy>
  <cp:lastPrinted>2021-05-21T02:24:00Z</cp:lastPrinted>
  <dcterms:modified xsi:type="dcterms:W3CDTF">2024-09-29T06:55:43Z</dcterms:modified>
  <dc:subject>石家庄市xxx部门</dc:subject>
  <dc:title>2017年度部门决算</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2CC59A63BDF64375BA788AD3509C31A8</vt:lpwstr>
  </property>
</Properties>
</file>