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lang w:val="zh-CN"/>
        </w:rPr>
        <w:t>高邑县城乡客运一体化试点县创建任务分解表</w:t>
      </w:r>
    </w:p>
    <w:tbl>
      <w:tblPr>
        <w:tblStyle w:val="5"/>
        <w:tblW w:w="133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1"/>
        <w:gridCol w:w="1486"/>
        <w:gridCol w:w="4506"/>
        <w:gridCol w:w="1244"/>
        <w:gridCol w:w="1664"/>
        <w:gridCol w:w="1318"/>
        <w:gridCol w:w="24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723" w:hRule="atLeast"/>
          <w:tblHeader/>
          <w:jc w:val="center"/>
        </w:trPr>
        <w:tc>
          <w:tcPr>
            <w:tcW w:w="701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编号</w:t>
            </w:r>
          </w:p>
        </w:tc>
        <w:tc>
          <w:tcPr>
            <w:tcW w:w="148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工程类别</w:t>
            </w:r>
          </w:p>
        </w:tc>
        <w:tc>
          <w:tcPr>
            <w:tcW w:w="450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建设内容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投资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资金来源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实施主体</w:t>
            </w:r>
          </w:p>
        </w:tc>
        <w:tc>
          <w:tcPr>
            <w:tcW w:w="246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4"/>
                <w:szCs w:val="24"/>
              </w:rPr>
              <w:t>配合单位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54" w:hRule="atLeast"/>
          <w:jc w:val="center"/>
        </w:trPr>
        <w:tc>
          <w:tcPr>
            <w:tcW w:w="701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</w:t>
            </w:r>
          </w:p>
        </w:tc>
        <w:tc>
          <w:tcPr>
            <w:tcW w:w="1486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道路建设</w:t>
            </w:r>
          </w:p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工程</w:t>
            </w:r>
          </w:p>
        </w:tc>
        <w:tc>
          <w:tcPr>
            <w:tcW w:w="450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107国道县城至邢台界大中修工程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1027</w:t>
            </w:r>
          </w:p>
        </w:tc>
        <w:tc>
          <w:tcPr>
            <w:tcW w:w="1664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省厅资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金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市交通局</w:t>
            </w:r>
          </w:p>
        </w:tc>
        <w:tc>
          <w:tcPr>
            <w:tcW w:w="246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县发改局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县自然资源和规划局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县财政局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各镇政府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60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50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339国道县城至赞皇界大修工程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1964</w:t>
            </w:r>
          </w:p>
        </w:tc>
        <w:tc>
          <w:tcPr>
            <w:tcW w:w="1664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73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450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40公里农村公路升级改造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3000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补助资金</w:t>
            </w:r>
          </w:p>
          <w:p>
            <w:pPr>
              <w:pStyle w:val="2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地方自筹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74" w:hRule="atLeast"/>
          <w:jc w:val="center"/>
        </w:trPr>
        <w:tc>
          <w:tcPr>
            <w:tcW w:w="701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2</w:t>
            </w:r>
          </w:p>
        </w:tc>
        <w:tc>
          <w:tcPr>
            <w:tcW w:w="1486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客运场站</w:t>
            </w:r>
          </w:p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工程</w:t>
            </w:r>
          </w:p>
        </w:tc>
        <w:tc>
          <w:tcPr>
            <w:tcW w:w="4506" w:type="dxa"/>
            <w:tcBorders>
              <w:top w:val="nil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高邑综合客运枢纽</w:t>
            </w:r>
          </w:p>
        </w:tc>
        <w:tc>
          <w:tcPr>
            <w:tcW w:w="1244" w:type="dxa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10500</w:t>
            </w:r>
          </w:p>
        </w:tc>
        <w:tc>
          <w:tcPr>
            <w:tcW w:w="1664" w:type="dxa"/>
            <w:tcBorders>
              <w:top w:val="nil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补助资金</w:t>
            </w:r>
          </w:p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地方自筹</w:t>
            </w:r>
          </w:p>
        </w:tc>
        <w:tc>
          <w:tcPr>
            <w:tcW w:w="1318" w:type="dxa"/>
            <w:vMerge w:val="restart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vMerge w:val="restart"/>
            <w:tcBorders>
              <w:top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县发改局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县自然资源和规划局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县财政局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县住建局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各镇政府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09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4506" w:type="dxa"/>
            <w:tcBorders>
              <w:top w:val="nil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现有公交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充电场站改扩建</w:t>
            </w:r>
          </w:p>
        </w:tc>
        <w:tc>
          <w:tcPr>
            <w:tcW w:w="1244" w:type="dxa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653</w:t>
            </w:r>
          </w:p>
        </w:tc>
        <w:tc>
          <w:tcPr>
            <w:tcW w:w="1664" w:type="dxa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县财政资金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94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506" w:type="dxa"/>
            <w:tcBorders>
              <w:top w:val="nil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县客运站站前广场新建充电设施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157</w:t>
            </w:r>
          </w:p>
        </w:tc>
        <w:tc>
          <w:tcPr>
            <w:tcW w:w="1664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07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506" w:type="dxa"/>
            <w:tcBorders>
              <w:top w:val="nil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新建农村公交站牌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44个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664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885" w:hRule="atLeast"/>
          <w:jc w:val="center"/>
        </w:trPr>
        <w:tc>
          <w:tcPr>
            <w:tcW w:w="701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1486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智慧交通</w:t>
            </w:r>
          </w:p>
          <w:p>
            <w:pPr>
              <w:widowControl/>
              <w:spacing w:line="28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工程</w:t>
            </w:r>
          </w:p>
        </w:tc>
        <w:tc>
          <w:tcPr>
            <w:tcW w:w="45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完成所有车辆配套车载监控设备安装，实现智能化调度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176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县财政资金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县财政局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991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5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推进交通一卡通互联互通、刷卡终端设备改造，实现微信、支付宝线上支付功能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已完成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2468" w:type="dxa"/>
            <w:noWrap w:val="0"/>
            <w:vAlign w:val="center"/>
          </w:tcPr>
          <w:p>
            <w:pPr>
              <w:pStyle w:val="2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87" w:hRule="atLeast"/>
          <w:jc w:val="center"/>
        </w:trPr>
        <w:tc>
          <w:tcPr>
            <w:tcW w:w="701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4</w:t>
            </w:r>
          </w:p>
        </w:tc>
        <w:tc>
          <w:tcPr>
            <w:tcW w:w="1486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安全监管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强化工程</w:t>
            </w:r>
          </w:p>
        </w:tc>
        <w:tc>
          <w:tcPr>
            <w:tcW w:w="450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健全行业安全监管机制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vMerge w:val="restart"/>
            <w:noWrap w:val="0"/>
            <w:vAlign w:val="center"/>
          </w:tcPr>
          <w:p>
            <w:pPr>
              <w:pStyle w:val="2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64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4506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加强企业责任落实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客运企业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客运企业</w:t>
            </w: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pStyle w:val="2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62" w:hRule="atLeast"/>
          <w:jc w:val="center"/>
        </w:trPr>
        <w:tc>
          <w:tcPr>
            <w:tcW w:w="70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148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客货邮融合发展工程</w:t>
            </w:r>
          </w:p>
        </w:tc>
        <w:tc>
          <w:tcPr>
            <w:tcW w:w="450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基础设施融合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县交通局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cya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noWrap w:val="0"/>
            <w:vAlign w:val="center"/>
          </w:tcPr>
          <w:p>
            <w:pPr>
              <w:pStyle w:val="2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cy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91" w:hRule="atLeast"/>
          <w:jc w:val="center"/>
        </w:trPr>
        <w:tc>
          <w:tcPr>
            <w:tcW w:w="701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6</w:t>
            </w:r>
          </w:p>
        </w:tc>
        <w:tc>
          <w:tcPr>
            <w:tcW w:w="1486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服务管理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提升工程</w:t>
            </w:r>
          </w:p>
        </w:tc>
        <w:tc>
          <w:tcPr>
            <w:tcW w:w="4506" w:type="dxa"/>
            <w:tcBorders>
              <w:top w:val="nil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客运企业服务信誉考核</w:t>
            </w:r>
          </w:p>
        </w:tc>
        <w:tc>
          <w:tcPr>
            <w:tcW w:w="1244" w:type="dxa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5</w:t>
            </w:r>
          </w:p>
        </w:tc>
        <w:tc>
          <w:tcPr>
            <w:tcW w:w="1664" w:type="dxa"/>
            <w:tcBorders>
              <w:top w:val="nil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1318" w:type="dxa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vMerge w:val="restart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99" w:hRule="atLeast"/>
          <w:jc w:val="center"/>
        </w:trPr>
        <w:tc>
          <w:tcPr>
            <w:tcW w:w="701" w:type="dxa"/>
            <w:vMerge w:val="continue"/>
            <w:noWrap w:val="0"/>
            <w:vAlign w:val="top"/>
          </w:tcPr>
          <w:p>
            <w:pPr>
              <w:widowControl/>
              <w:spacing w:line="280" w:lineRule="exact"/>
              <w:ind w:firstLine="240" w:firstLineChars="100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4506" w:type="dxa"/>
            <w:tcBorders>
              <w:top w:val="nil"/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企业从业人员服务能力提升</w:t>
            </w:r>
          </w:p>
        </w:tc>
        <w:tc>
          <w:tcPr>
            <w:tcW w:w="1244" w:type="dxa"/>
            <w:tcBorders>
              <w:top w:val="nil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客运企业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客运企业</w:t>
            </w: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97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45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社会监督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——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32" w:hRule="atLeast"/>
          <w:jc w:val="center"/>
        </w:trPr>
        <w:tc>
          <w:tcPr>
            <w:tcW w:w="701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7</w:t>
            </w:r>
          </w:p>
        </w:tc>
        <w:tc>
          <w:tcPr>
            <w:tcW w:w="1486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宣传教育</w:t>
            </w:r>
          </w:p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保障</w:t>
            </w:r>
          </w:p>
        </w:tc>
        <w:tc>
          <w:tcPr>
            <w:tcW w:w="45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营造良好氛围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</w:t>
            </w:r>
          </w:p>
        </w:tc>
        <w:tc>
          <w:tcPr>
            <w:tcW w:w="1664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县交通局</w:t>
            </w:r>
          </w:p>
        </w:tc>
        <w:tc>
          <w:tcPr>
            <w:tcW w:w="2468" w:type="dxa"/>
            <w:vMerge w:val="restart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30" w:hRule="atLeast"/>
          <w:jc w:val="center"/>
        </w:trPr>
        <w:tc>
          <w:tcPr>
            <w:tcW w:w="701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86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45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加强交流合作</w:t>
            </w: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10</w:t>
            </w:r>
          </w:p>
        </w:tc>
        <w:tc>
          <w:tcPr>
            <w:tcW w:w="1664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468" w:type="dxa"/>
            <w:vMerge w:val="continue"/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22" w:hRule="atLeast"/>
          <w:jc w:val="center"/>
        </w:trPr>
        <w:tc>
          <w:tcPr>
            <w:tcW w:w="2187" w:type="dxa"/>
            <w:gridSpan w:val="2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  <w:t>合计</w:t>
            </w:r>
          </w:p>
        </w:tc>
        <w:tc>
          <w:tcPr>
            <w:tcW w:w="450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280" w:lineRule="exac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4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17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612</w:t>
            </w:r>
          </w:p>
        </w:tc>
        <w:tc>
          <w:tcPr>
            <w:tcW w:w="1664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468" w:type="dxa"/>
            <w:noWrap w:val="0"/>
            <w:vAlign w:val="center"/>
          </w:tcPr>
          <w:p>
            <w:pPr>
              <w:widowControl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</w:tbl>
    <w:p>
      <w:pPr>
        <w:pStyle w:val="2"/>
        <w:rPr>
          <w:rFonts w:eastAsia="仿宋_GB2312"/>
        </w:rPr>
      </w:pPr>
    </w:p>
    <w:p/>
    <w:sectPr>
      <w:footerReference r:id="rId3" w:type="default"/>
      <w:pgSz w:w="16838" w:h="11906" w:orient="landscape"/>
      <w:pgMar w:top="1531" w:right="1701" w:bottom="1531" w:left="170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新书宋繁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E45984"/>
    <w:rsid w:val="2E453803"/>
    <w:rsid w:val="3958765F"/>
    <w:rsid w:val="7EE45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qFormat/>
    <w:uiPriority w:val="0"/>
    <w:pPr>
      <w:suppressAutoHyphens/>
      <w:jc w:val="both"/>
      <w:textAlignment w:val="baseline"/>
    </w:pPr>
    <w:rPr>
      <w:rFonts w:ascii="Times New Roman" w:hAnsi="Times New Roman" w:eastAsia="宋体" w:cs="Times New Roman"/>
      <w:kern w:val="3"/>
      <w:sz w:val="21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2021-09-02T03:50:00Z</dcterms:created>
  <dc:creator>打字门市</dc:creator>
  <cp:lastModifiedBy>打字门市</cp:lastModifiedBy>
  <dcterms:modified xsi:type="dcterms:W3CDTF">2021-09-02T03:57:11Z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850A59803FD8493CABFFBDBEB629B63E</vt:lpwstr>
  </property>
</Properties>
</file>