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hint="eastAsia" w:ascii="宋体" w:hAnsi="宋体" w:cs="宋体"/>
          <w:b/>
          <w:sz w:val="72"/>
          <w:szCs w:val="72"/>
        </w:rPr>
      </w:pPr>
      <w:r>
        <w:rPr>
          <w:rFonts w:hint="eastAsia" w:hAnsi="宋体" w:asciiTheme="minorEastAsia" w:eastAsiaTheme="minorEastAsia"/>
          <w:color w:val="002060"/>
          <w:sz w:val="72"/>
          <w:szCs w:val="72"/>
        </w:rPr>
        <w:drawing>
          <wp:anchor distT="0" distB="0" distL="114300" distR="114300" simplePos="0" relativeHeight="251663360" behindDoc="1" locked="0" layoutInCell="1" allowOverlap="1">
            <wp:simplePos x="0" y="0"/>
            <wp:positionH relativeFrom="column">
              <wp:posOffset>-990600</wp:posOffset>
            </wp:positionH>
            <wp:positionV relativeFrom="paragraph">
              <wp:posOffset>-1431290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5"/>
                    <a:stretch>
                      <a:fillRect/>
                    </a:stretch>
                  </pic:blipFill>
                  <pic:spPr>
                    <a:xfrm>
                      <a:off x="0" y="0"/>
                      <a:ext cx="7576820" cy="10796905"/>
                    </a:xfrm>
                    <a:prstGeom prst="rect">
                      <a:avLst/>
                    </a:prstGeom>
                  </pic:spPr>
                </pic:pic>
              </a:graphicData>
            </a:graphic>
          </wp:anchor>
        </w:drawing>
      </w:r>
    </w:p>
    <w:p>
      <w:pPr>
        <w:widowControl/>
        <w:jc w:val="center"/>
        <w:rPr>
          <w:rFonts w:ascii="宋体" w:hAnsi="宋体" w:cs="宋体"/>
          <w:b/>
          <w:sz w:val="72"/>
          <w:szCs w:val="72"/>
        </w:rPr>
      </w:pPr>
    </w:p>
    <w:p>
      <w:pPr>
        <w:widowControl/>
        <w:jc w:val="center"/>
        <w:rPr>
          <w:rFonts w:ascii="宋体" w:hAnsi="宋体" w:cs="宋体"/>
          <w:sz w:val="72"/>
          <w:szCs w:val="72"/>
        </w:rPr>
      </w:pPr>
      <w:r>
        <w:rPr>
          <w:rFonts w:hint="eastAsia" w:ascii="宋体" w:hAnsi="宋体" w:cs="宋体"/>
          <w:b/>
          <w:sz w:val="72"/>
          <w:szCs w:val="72"/>
        </w:rPr>
        <w:t>高邑县广播电视台</w:t>
      </w:r>
    </w:p>
    <w:p>
      <w:pPr>
        <w:widowControl/>
        <w:jc w:val="center"/>
        <w:rPr>
          <w:rFonts w:ascii="宋体" w:hAnsi="宋体" w:cs="宋体"/>
          <w:sz w:val="84"/>
          <w:szCs w:val="84"/>
        </w:rPr>
      </w:pPr>
      <w:r>
        <w:rPr>
          <w:rFonts w:hint="eastAsia" w:ascii="宋体" w:hAnsi="宋体" w:cs="宋体"/>
          <w:sz w:val="84"/>
          <w:szCs w:val="84"/>
        </w:rPr>
        <w:t>2018年度部门决算公开</w:t>
      </w: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ascii="宋体" w:hAnsi="宋体" w:cs="宋体"/>
          <w:b/>
          <w:sz w:val="72"/>
          <w:szCs w:val="72"/>
        </w:rPr>
      </w:pPr>
    </w:p>
    <w:p>
      <w:pPr>
        <w:widowControl/>
        <w:jc w:val="center"/>
        <w:rPr>
          <w:rFonts w:hint="eastAsia" w:ascii="楷体_GB2312" w:hAnsi="楷体" w:eastAsia="楷体_GB2312" w:cs="楷体"/>
          <w:b/>
          <w:sz w:val="40"/>
          <w:szCs w:val="40"/>
          <w:lang w:val="en-US" w:eastAsia="zh-CN"/>
        </w:rPr>
        <w:sectPr>
          <w:headerReference r:id="rId3"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w:t>
      </w:r>
      <w:r>
        <w:rPr>
          <w:rFonts w:hint="eastAsia" w:ascii="楷体_GB2312" w:hAnsi="楷体" w:eastAsia="楷体_GB2312" w:cs="楷体"/>
          <w:b/>
          <w:sz w:val="40"/>
          <w:szCs w:val="40"/>
          <w:lang w:eastAsia="zh-CN"/>
        </w:rPr>
        <w:t>日</w:t>
      </w:r>
    </w:p>
    <w:p>
      <w:pPr>
        <w:widowControl/>
        <w:spacing w:line="580" w:lineRule="exact"/>
        <w:jc w:val="both"/>
        <w:rPr>
          <w:rFonts w:hint="eastAsia" w:ascii="宋体" w:hAnsi="宋体" w:cs="宋体"/>
          <w:sz w:val="44"/>
          <w:szCs w:val="44"/>
        </w:rPr>
      </w:pPr>
    </w:p>
    <w:p>
      <w:pPr>
        <w:widowControl/>
        <w:spacing w:line="580" w:lineRule="exact"/>
        <w:jc w:val="center"/>
        <w:rPr>
          <w:rFonts w:ascii="宋体" w:hAnsi="宋体" w:cs="宋体"/>
          <w:sz w:val="32"/>
          <w:szCs w:val="32"/>
        </w:rPr>
      </w:pPr>
      <w:r>
        <w:rPr>
          <w:rFonts w:hint="eastAsia" w:ascii="宋体" w:hAnsi="宋体" w:cs="宋体"/>
          <w:sz w:val="44"/>
          <w:szCs w:val="44"/>
        </w:rPr>
        <w:t>目</w:t>
      </w:r>
      <w:r>
        <w:rPr>
          <w:rFonts w:hint="eastAsia" w:ascii="宋体" w:hAnsi="宋体" w:cs="宋体"/>
          <w:sz w:val="44"/>
          <w:szCs w:val="44"/>
          <w:lang w:val="en-US" w:eastAsia="zh-CN"/>
        </w:rPr>
        <w:t xml:space="preserve">    </w:t>
      </w:r>
      <w:r>
        <w:rPr>
          <w:rFonts w:hint="eastAsia" w:ascii="宋体" w:hAnsi="宋体" w:cs="宋体"/>
          <w:sz w:val="44"/>
          <w:szCs w:val="44"/>
        </w:rPr>
        <w:t>录</w:t>
      </w:r>
    </w:p>
    <w:p>
      <w:pPr>
        <w:widowControl/>
        <w:spacing w:line="580" w:lineRule="exact"/>
        <w:ind w:firstLine="640" w:firstLineChars="200"/>
        <w:rPr>
          <w:rFonts w:ascii="宋体" w:hAnsi="宋体" w:cs="宋体"/>
          <w:sz w:val="24"/>
          <w:szCs w:val="32"/>
        </w:rPr>
      </w:pPr>
      <w:r>
        <w:rPr>
          <w:rFonts w:hint="eastAsia" w:ascii="宋体" w:hAnsi="宋体" w:cs="宋体"/>
          <w:sz w:val="32"/>
          <w:szCs w:val="32"/>
        </w:rPr>
        <w:t xml:space="preserve">第一部分 </w:t>
      </w:r>
      <w:r>
        <w:rPr>
          <w:rFonts w:hint="eastAsia" w:ascii="宋体" w:hAnsi="宋体" w:cs="宋体"/>
          <w:sz w:val="32"/>
          <w:szCs w:val="32"/>
          <w:lang w:eastAsia="zh-CN"/>
        </w:rPr>
        <w:t>部门</w:t>
      </w:r>
      <w:r>
        <w:rPr>
          <w:rFonts w:hint="eastAsia" w:ascii="宋体" w:hAnsi="宋体" w:cs="宋体"/>
          <w:sz w:val="32"/>
          <w:szCs w:val="32"/>
        </w:rPr>
        <w:t>概况</w:t>
      </w:r>
      <w:r>
        <w:rPr>
          <w:rFonts w:hint="eastAsia" w:ascii="宋体" w:hAnsi="宋体" w:cs="宋体"/>
          <w:sz w:val="24"/>
          <w:szCs w:val="32"/>
        </w:rPr>
        <w:t xml:space="preserve">   </w:t>
      </w:r>
    </w:p>
    <w:p>
      <w:pPr>
        <w:widowControl/>
        <w:spacing w:line="580" w:lineRule="exact"/>
        <w:ind w:firstLine="1273" w:firstLineChars="398"/>
        <w:rPr>
          <w:rFonts w:ascii="宋体" w:hAnsi="宋体" w:cs="宋体"/>
          <w:sz w:val="32"/>
          <w:szCs w:val="32"/>
        </w:rPr>
      </w:pPr>
      <w:r>
        <w:rPr>
          <w:rFonts w:hint="eastAsia" w:ascii="宋体" w:hAnsi="宋体" w:cs="宋体"/>
          <w:sz w:val="32"/>
          <w:szCs w:val="32"/>
        </w:rPr>
        <w:t>一、部门职责</w:t>
      </w:r>
    </w:p>
    <w:p>
      <w:pPr>
        <w:widowControl/>
        <w:spacing w:line="580" w:lineRule="exact"/>
        <w:ind w:firstLine="1273" w:firstLineChars="398"/>
        <w:rPr>
          <w:rFonts w:ascii="宋体" w:hAnsi="宋体" w:cs="宋体"/>
          <w:sz w:val="32"/>
          <w:szCs w:val="32"/>
        </w:rPr>
      </w:pPr>
      <w:r>
        <w:rPr>
          <w:rFonts w:hint="eastAsia" w:ascii="宋体" w:hAnsi="宋体" w:cs="宋体"/>
          <w:sz w:val="32"/>
          <w:szCs w:val="32"/>
        </w:rPr>
        <w:t>二、部门决算单位构成</w:t>
      </w:r>
    </w:p>
    <w:p>
      <w:pPr>
        <w:widowControl/>
        <w:spacing w:line="580" w:lineRule="exact"/>
        <w:ind w:firstLine="640" w:firstLineChars="200"/>
        <w:rPr>
          <w:rFonts w:ascii="宋体" w:hAnsi="宋体" w:cs="宋体"/>
          <w:sz w:val="20"/>
          <w:szCs w:val="32"/>
        </w:rPr>
      </w:pPr>
      <w:r>
        <w:rPr>
          <w:rFonts w:hint="eastAsia" w:ascii="宋体" w:hAnsi="宋体" w:cs="宋体"/>
          <w:sz w:val="32"/>
          <w:szCs w:val="32"/>
        </w:rPr>
        <w:t>第二部分 2018年度部门决算报表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一、收入支出决算总表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二、收入决算表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三、支出决算表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四、财政拨款收入支出决算总表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五、一般公共预算财政拨款支出决算表</w:t>
      </w:r>
    </w:p>
    <w:p>
      <w:pPr>
        <w:widowControl/>
        <w:spacing w:line="580" w:lineRule="exact"/>
        <w:ind w:left="640" w:firstLine="640" w:firstLineChars="200"/>
        <w:rPr>
          <w:rFonts w:hint="eastAsia" w:ascii="宋体" w:hAnsi="宋体" w:cs="宋体"/>
          <w:sz w:val="32"/>
          <w:szCs w:val="32"/>
        </w:rPr>
      </w:pPr>
      <w:r>
        <w:rPr>
          <w:rFonts w:hint="eastAsia" w:ascii="宋体" w:hAnsi="宋体" w:cs="宋体"/>
          <w:sz w:val="32"/>
          <w:szCs w:val="32"/>
        </w:rPr>
        <w:t>六、一般公共预算财政拨款基本支出决算表</w:t>
      </w:r>
    </w:p>
    <w:p>
      <w:pPr>
        <w:widowControl/>
        <w:spacing w:line="580" w:lineRule="exact"/>
        <w:ind w:left="640" w:firstLine="640" w:firstLineChars="200"/>
        <w:rPr>
          <w:rFonts w:hint="eastAsia" w:ascii="宋体" w:hAnsi="宋体" w:cs="宋体"/>
          <w:sz w:val="32"/>
          <w:szCs w:val="32"/>
        </w:rPr>
      </w:pPr>
      <w:r>
        <w:rPr>
          <w:rFonts w:hint="eastAsia" w:ascii="宋体" w:hAnsi="宋体" w:cs="宋体"/>
          <w:sz w:val="32"/>
          <w:szCs w:val="32"/>
          <w:lang w:eastAsia="zh-CN"/>
        </w:rPr>
        <w:t>七、</w:t>
      </w:r>
      <w:r>
        <w:rPr>
          <w:rFonts w:hint="eastAsia" w:ascii="宋体" w:hAnsi="宋体" w:cs="宋体"/>
          <w:sz w:val="32"/>
          <w:szCs w:val="32"/>
        </w:rPr>
        <w:t>一般公共预算财政拨款“三公”经费支出决算表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lang w:eastAsia="zh-CN"/>
        </w:rPr>
        <w:t>八</w:t>
      </w:r>
      <w:r>
        <w:rPr>
          <w:rFonts w:hint="eastAsia" w:ascii="宋体" w:hAnsi="宋体" w:cs="宋体"/>
          <w:sz w:val="32"/>
          <w:szCs w:val="32"/>
        </w:rPr>
        <w:t>、政府性基金预算财政拨款收入支出决算表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lang w:eastAsia="zh-CN"/>
        </w:rPr>
        <w:t>九</w:t>
      </w:r>
      <w:r>
        <w:rPr>
          <w:rFonts w:hint="eastAsia" w:ascii="宋体" w:hAnsi="宋体" w:cs="宋体"/>
          <w:sz w:val="32"/>
          <w:szCs w:val="32"/>
        </w:rPr>
        <w:t>、国有资本经营预算财政拨款收入支出决算表</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lang w:eastAsia="zh-CN"/>
        </w:rPr>
        <w:t>十</w:t>
      </w:r>
      <w:r>
        <w:rPr>
          <w:rFonts w:hint="eastAsia" w:ascii="宋体" w:hAnsi="宋体" w:cs="宋体"/>
          <w:sz w:val="32"/>
          <w:szCs w:val="32"/>
        </w:rPr>
        <w:t>、</w:t>
      </w:r>
      <w:r>
        <w:rPr>
          <w:rFonts w:hint="eastAsia" w:ascii="宋体" w:hAnsi="宋体" w:cs="宋体"/>
          <w:sz w:val="32"/>
          <w:szCs w:val="32"/>
          <w:lang w:eastAsia="zh-CN"/>
        </w:rPr>
        <w:t>政府采购情况</w:t>
      </w:r>
      <w:r>
        <w:rPr>
          <w:rFonts w:hint="eastAsia" w:ascii="宋体" w:hAnsi="宋体" w:cs="宋体"/>
          <w:sz w:val="32"/>
          <w:szCs w:val="32"/>
        </w:rPr>
        <w:t>表</w:t>
      </w:r>
    </w:p>
    <w:p>
      <w:pPr>
        <w:widowControl/>
        <w:spacing w:line="580" w:lineRule="exact"/>
        <w:ind w:firstLine="640" w:firstLineChars="200"/>
        <w:rPr>
          <w:rFonts w:ascii="宋体" w:hAnsi="宋体" w:cs="宋体"/>
          <w:sz w:val="32"/>
          <w:szCs w:val="32"/>
        </w:rPr>
      </w:pPr>
      <w:r>
        <w:rPr>
          <w:rFonts w:hint="eastAsia" w:ascii="宋体" w:hAnsi="宋体" w:cs="宋体"/>
          <w:sz w:val="32"/>
          <w:szCs w:val="32"/>
        </w:rPr>
        <w:t>第三部分  高邑县广播电视台2018年部门决算情况说明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一、收入支出决算总体情况说明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二、收入决算情况说明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三、支出决算情况说明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四、财政拨款收入支出决算情况说明</w:t>
      </w:r>
    </w:p>
    <w:p>
      <w:pPr>
        <w:widowControl/>
        <w:spacing w:line="580" w:lineRule="exact"/>
        <w:ind w:left="640" w:firstLine="640" w:firstLineChars="200"/>
        <w:rPr>
          <w:rFonts w:hint="eastAsia" w:ascii="宋体" w:hAnsi="宋体" w:cs="宋体"/>
          <w:sz w:val="32"/>
          <w:szCs w:val="32"/>
        </w:rPr>
      </w:pPr>
      <w:r>
        <w:rPr>
          <w:rFonts w:hint="eastAsia" w:ascii="宋体" w:hAnsi="宋体" w:cs="宋体"/>
          <w:sz w:val="32"/>
          <w:szCs w:val="32"/>
        </w:rPr>
        <w:t>五、一般公共预算财政拨款“三公”经费支出决算情况说明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六、预算绩效情况说明</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七、其他重要事项的说明</w:t>
      </w:r>
    </w:p>
    <w:p>
      <w:pPr>
        <w:widowControl/>
        <w:spacing w:line="580" w:lineRule="exact"/>
        <w:ind w:left="640" w:firstLine="1344" w:firstLineChars="420"/>
        <w:rPr>
          <w:rFonts w:ascii="宋体" w:hAnsi="宋体" w:cs="宋体"/>
          <w:sz w:val="32"/>
          <w:szCs w:val="32"/>
        </w:rPr>
      </w:pPr>
      <w:r>
        <w:rPr>
          <w:rFonts w:hint="eastAsia" w:ascii="宋体" w:hAnsi="宋体" w:cs="宋体"/>
          <w:sz w:val="32"/>
          <w:szCs w:val="32"/>
        </w:rPr>
        <w:t>1.机关运行经费情况</w:t>
      </w:r>
    </w:p>
    <w:p>
      <w:pPr>
        <w:widowControl/>
        <w:spacing w:line="580" w:lineRule="exact"/>
        <w:ind w:left="640" w:firstLine="1344" w:firstLineChars="420"/>
        <w:rPr>
          <w:rFonts w:ascii="宋体" w:hAnsi="宋体" w:cs="宋体"/>
          <w:sz w:val="32"/>
          <w:szCs w:val="32"/>
        </w:rPr>
      </w:pPr>
      <w:r>
        <w:rPr>
          <w:rFonts w:hint="eastAsia" w:ascii="宋体" w:hAnsi="宋体" w:cs="宋体"/>
          <w:sz w:val="32"/>
          <w:szCs w:val="32"/>
        </w:rPr>
        <w:t>2.政府采购情况</w:t>
      </w:r>
    </w:p>
    <w:p>
      <w:pPr>
        <w:widowControl/>
        <w:spacing w:line="580" w:lineRule="exact"/>
        <w:ind w:left="640" w:firstLine="1344" w:firstLineChars="420"/>
        <w:rPr>
          <w:rFonts w:ascii="宋体" w:hAnsi="宋体" w:cs="宋体"/>
          <w:sz w:val="32"/>
          <w:szCs w:val="32"/>
        </w:rPr>
      </w:pPr>
      <w:r>
        <w:rPr>
          <w:rFonts w:hint="eastAsia" w:ascii="宋体" w:hAnsi="宋体" w:cs="宋体"/>
          <w:sz w:val="32"/>
          <w:szCs w:val="32"/>
        </w:rPr>
        <w:t>3.国有资产占用情况</w:t>
      </w:r>
    </w:p>
    <w:p>
      <w:pPr>
        <w:widowControl/>
        <w:spacing w:line="580" w:lineRule="exact"/>
        <w:ind w:left="640" w:firstLine="1344" w:firstLineChars="420"/>
        <w:rPr>
          <w:rFonts w:ascii="宋体" w:hAnsi="宋体" w:cs="宋体"/>
          <w:sz w:val="32"/>
          <w:szCs w:val="32"/>
        </w:rPr>
      </w:pPr>
      <w:r>
        <w:rPr>
          <w:rFonts w:hint="eastAsia" w:ascii="宋体" w:hAnsi="宋体" w:cs="宋体"/>
          <w:sz w:val="32"/>
          <w:szCs w:val="32"/>
        </w:rPr>
        <w:t>4.其他需要说明的情况</w:t>
      </w:r>
    </w:p>
    <w:p>
      <w:pPr>
        <w:widowControl/>
        <w:spacing w:line="580" w:lineRule="exact"/>
        <w:ind w:firstLine="640" w:firstLineChars="200"/>
        <w:rPr>
          <w:rFonts w:ascii="宋体" w:hAnsi="宋体" w:cs="宋体"/>
          <w:sz w:val="32"/>
          <w:szCs w:val="32"/>
        </w:rPr>
      </w:pPr>
      <w:r>
        <w:rPr>
          <w:rFonts w:hint="eastAsia" w:ascii="宋体" w:hAnsi="宋体" w:cs="宋体"/>
          <w:sz w:val="32"/>
          <w:szCs w:val="32"/>
        </w:rPr>
        <w:t>第四部分  名词解释</w:t>
      </w:r>
    </w:p>
    <w:p>
      <w:pPr>
        <w:rPr>
          <w:rFonts w:ascii="宋体" w:hAnsi="宋体" w:cs="宋体"/>
        </w:rPr>
      </w:pPr>
    </w:p>
    <w:p>
      <w:pPr>
        <w:rPr>
          <w:rFonts w:ascii="宋体" w:hAnsi="宋体" w:cs="宋体"/>
        </w:rPr>
      </w:pPr>
    </w:p>
    <w:p>
      <w:pPr>
        <w:rPr>
          <w:rFonts w:ascii="宋体" w:hAnsi="宋体" w:cs="宋体"/>
        </w:rPr>
      </w:pPr>
    </w:p>
    <w:p>
      <w:pPr>
        <w:rPr>
          <w:rFonts w:ascii="宋体" w:hAnsi="宋体" w:cs="宋体"/>
        </w:rPr>
      </w:pPr>
    </w:p>
    <w:p>
      <w:pPr>
        <w:rPr>
          <w:rFonts w:ascii="宋体" w:hAnsi="宋体" w:cs="宋体"/>
        </w:rPr>
      </w:pPr>
    </w:p>
    <w:p>
      <w:pPr>
        <w:pStyle w:val="2"/>
        <w:numPr>
          <w:ilvl w:val="0"/>
          <w:numId w:val="0"/>
        </w:numPr>
        <w:spacing w:line="560" w:lineRule="exact"/>
        <w:jc w:val="both"/>
        <w:rPr>
          <w:rFonts w:hint="eastAsia" w:ascii="宋体" w:hAnsi="宋体" w:cs="宋体"/>
          <w:color w:val="000000"/>
          <w:kern w:val="0"/>
        </w:rPr>
      </w:pPr>
    </w:p>
    <w:p>
      <w:pPr>
        <w:pStyle w:val="2"/>
        <w:numPr>
          <w:ilvl w:val="0"/>
          <w:numId w:val="0"/>
        </w:numPr>
        <w:spacing w:line="560" w:lineRule="exact"/>
        <w:jc w:val="both"/>
        <w:rPr>
          <w:rFonts w:hint="eastAsia" w:ascii="宋体" w:hAnsi="宋体" w:cs="宋体"/>
          <w:color w:val="000000"/>
          <w:kern w:val="0"/>
        </w:rPr>
      </w:pPr>
    </w:p>
    <w:p>
      <w:pPr>
        <w:pStyle w:val="2"/>
        <w:numPr>
          <w:ilvl w:val="0"/>
          <w:numId w:val="0"/>
        </w:numPr>
        <w:spacing w:line="560" w:lineRule="exact"/>
        <w:jc w:val="both"/>
        <w:rPr>
          <w:rFonts w:hint="eastAsia" w:ascii="宋体" w:hAnsi="宋体" w:cs="宋体"/>
          <w:color w:val="000000"/>
          <w:kern w:val="0"/>
        </w:rPr>
      </w:pPr>
    </w:p>
    <w:p>
      <w:pPr>
        <w:pStyle w:val="2"/>
        <w:numPr>
          <w:ilvl w:val="0"/>
          <w:numId w:val="0"/>
        </w:numPr>
        <w:spacing w:line="560" w:lineRule="exact"/>
        <w:ind w:firstLine="2088" w:firstLineChars="400"/>
        <w:jc w:val="both"/>
        <w:rPr>
          <w:rFonts w:hint="eastAsia" w:ascii="宋体" w:hAnsi="宋体" w:cs="宋体"/>
          <w:color w:val="000000"/>
          <w:kern w:val="0"/>
          <w:sz w:val="52"/>
          <w:szCs w:val="52"/>
        </w:rPr>
      </w:pPr>
      <w:r>
        <w:rPr>
          <w:rFonts w:hint="eastAsia" w:ascii="宋体" w:hAnsi="宋体" w:cs="宋体"/>
          <w:color w:val="000000"/>
          <w:kern w:val="0"/>
          <w:sz w:val="52"/>
          <w:szCs w:val="52"/>
          <w:lang w:eastAsia="zh-CN"/>
        </w:rPr>
        <w:t>第一部分</w:t>
      </w:r>
      <w:r>
        <w:rPr>
          <w:rFonts w:hint="eastAsia" w:ascii="宋体" w:hAnsi="宋体" w:cs="宋体"/>
          <w:color w:val="000000"/>
          <w:kern w:val="0"/>
          <w:sz w:val="52"/>
          <w:szCs w:val="52"/>
          <w:lang w:val="en-US" w:eastAsia="zh-CN"/>
        </w:rPr>
        <w:t xml:space="preserve"> </w:t>
      </w:r>
      <w:r>
        <w:rPr>
          <w:rFonts w:hint="eastAsia" w:ascii="宋体" w:hAnsi="宋体" w:cs="宋体"/>
          <w:color w:val="000000"/>
          <w:kern w:val="0"/>
          <w:sz w:val="52"/>
          <w:szCs w:val="52"/>
        </w:rPr>
        <w:t>部门概况</w:t>
      </w: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numPr>
          <w:ilvl w:val="0"/>
          <w:numId w:val="0"/>
        </w:numPr>
      </w:pPr>
    </w:p>
    <w:p>
      <w:pPr>
        <w:pStyle w:val="3"/>
        <w:spacing w:before="0" w:after="0" w:line="560" w:lineRule="exact"/>
        <w:ind w:firstLine="643" w:firstLineChars="200"/>
        <w:rPr>
          <w:rFonts w:ascii="宋体" w:hAnsi="宋体" w:eastAsia="宋体" w:cs="宋体"/>
          <w:kern w:val="0"/>
        </w:rPr>
      </w:pPr>
      <w:r>
        <w:rPr>
          <w:rFonts w:hint="eastAsia" w:ascii="宋体" w:hAnsi="宋体" w:eastAsia="宋体" w:cs="宋体"/>
          <w:kern w:val="0"/>
        </w:rPr>
        <w:t>一、部门职责</w:t>
      </w:r>
    </w:p>
    <w:p>
      <w:pPr>
        <w:ind w:firstLine="600" w:firstLineChars="200"/>
        <w:rPr>
          <w:sz w:val="30"/>
          <w:szCs w:val="30"/>
        </w:rPr>
      </w:pPr>
      <w:r>
        <w:rPr>
          <w:rFonts w:hint="eastAsia"/>
          <w:sz w:val="30"/>
          <w:szCs w:val="30"/>
        </w:rPr>
        <w:t>（一） 贯彻执行党和国家在新闻宣传方面的路线、方针、政策，落实县委、县政府在新闻宣传方面的各项指示，紧密配合县委、县政府的中心工作，坚持正确舆论导向，组织开展广播电视宣传工作。</w:t>
      </w:r>
    </w:p>
    <w:p>
      <w:pPr>
        <w:ind w:firstLine="600" w:firstLineChars="200"/>
        <w:rPr>
          <w:sz w:val="30"/>
          <w:szCs w:val="30"/>
        </w:rPr>
      </w:pPr>
      <w:r>
        <w:rPr>
          <w:rFonts w:hint="eastAsia"/>
          <w:sz w:val="30"/>
          <w:szCs w:val="30"/>
        </w:rPr>
        <w:t>（二）组织实施广播电视事业发展规划，促进广播电视事业发展。</w:t>
      </w:r>
    </w:p>
    <w:p>
      <w:pPr>
        <w:ind w:firstLine="600" w:firstLineChars="200"/>
        <w:rPr>
          <w:sz w:val="30"/>
          <w:szCs w:val="30"/>
        </w:rPr>
      </w:pPr>
      <w:r>
        <w:rPr>
          <w:rFonts w:hint="eastAsia"/>
          <w:sz w:val="30"/>
          <w:szCs w:val="30"/>
        </w:rPr>
        <w:t>（三）办好台各个自办频率、频道，结合文化建设的要求，做好各类新闻、专题、文艺节目的采制、录播工作，为民众提供丰富多彩的优秀精神食粮。</w:t>
      </w:r>
    </w:p>
    <w:p>
      <w:pPr>
        <w:ind w:firstLine="600" w:firstLineChars="200"/>
        <w:rPr>
          <w:sz w:val="30"/>
          <w:szCs w:val="30"/>
        </w:rPr>
      </w:pPr>
      <w:r>
        <w:rPr>
          <w:rFonts w:hint="eastAsia"/>
          <w:sz w:val="30"/>
          <w:szCs w:val="30"/>
        </w:rPr>
        <w:t>（四）做好本台广播电视节目播出、传输和发射工作，转播好中央、省、市台的广播电视节目，做到安全优质播出。</w:t>
      </w:r>
    </w:p>
    <w:p>
      <w:pPr>
        <w:ind w:firstLine="600" w:firstLineChars="200"/>
        <w:rPr>
          <w:sz w:val="30"/>
          <w:szCs w:val="30"/>
        </w:rPr>
      </w:pPr>
      <w:r>
        <w:rPr>
          <w:rFonts w:hint="eastAsia"/>
          <w:sz w:val="30"/>
          <w:szCs w:val="30"/>
        </w:rPr>
        <w:t>（五）做好广播电视新技术的推广应用和广播电视传输无线覆盖网的建设、维护和管理。</w:t>
      </w:r>
    </w:p>
    <w:p>
      <w:pPr>
        <w:ind w:firstLine="600" w:firstLineChars="200"/>
        <w:rPr>
          <w:sz w:val="30"/>
          <w:szCs w:val="30"/>
        </w:rPr>
      </w:pPr>
      <w:r>
        <w:rPr>
          <w:rFonts w:hint="eastAsia"/>
          <w:sz w:val="30"/>
          <w:szCs w:val="30"/>
        </w:rPr>
        <w:t>（六）开展广播、电视互联网广告经营工作，提供互联网新闻信息服务，提供政务服务、生活服务、社会传播、教育培训等综合服务。</w:t>
      </w:r>
    </w:p>
    <w:p>
      <w:pPr>
        <w:ind w:firstLine="600" w:firstLineChars="200"/>
        <w:rPr>
          <w:sz w:val="30"/>
          <w:szCs w:val="30"/>
        </w:rPr>
      </w:pPr>
      <w:r>
        <w:rPr>
          <w:rFonts w:hint="eastAsia"/>
          <w:sz w:val="30"/>
          <w:szCs w:val="30"/>
        </w:rPr>
        <w:t>（七）负责开拓广播电视产业，保证广电国有资产的保值增值。</w:t>
      </w:r>
    </w:p>
    <w:p>
      <w:r>
        <w:rPr>
          <w:rFonts w:hint="eastAsia"/>
          <w:sz w:val="30"/>
          <w:szCs w:val="30"/>
        </w:rPr>
        <w:t xml:space="preserve">    （八）承办县委、县政府交办的其它事项。</w:t>
      </w:r>
    </w:p>
    <w:p>
      <w:pPr>
        <w:pStyle w:val="3"/>
        <w:numPr>
          <w:ilvl w:val="0"/>
          <w:numId w:val="1"/>
        </w:numPr>
        <w:spacing w:before="0" w:after="0" w:line="560" w:lineRule="exact"/>
        <w:ind w:firstLine="643" w:firstLineChars="200"/>
        <w:rPr>
          <w:rFonts w:ascii="宋体" w:hAnsi="宋体" w:eastAsia="宋体" w:cs="宋体"/>
          <w:kern w:val="0"/>
        </w:rPr>
      </w:pPr>
      <w:r>
        <w:rPr>
          <w:rFonts w:hint="eastAsia" w:ascii="宋体" w:hAnsi="宋体" w:eastAsia="宋体" w:cs="宋体"/>
          <w:kern w:val="0"/>
        </w:rPr>
        <w:t>部门决算单位构成</w:t>
      </w:r>
    </w:p>
    <w:p>
      <w:pPr>
        <w:autoSpaceDE w:val="0"/>
        <w:autoSpaceDN w:val="0"/>
        <w:adjustRightInd w:val="0"/>
        <w:spacing w:after="0" w:line="560" w:lineRule="exact"/>
        <w:ind w:firstLine="640" w:firstLineChars="200"/>
        <w:jc w:val="left"/>
        <w:rPr>
          <w:rFonts w:ascii="宋体" w:hAnsi="宋体" w:cs="宋体"/>
          <w:kern w:val="0"/>
          <w:sz w:val="32"/>
          <w:szCs w:val="32"/>
        </w:rPr>
      </w:pPr>
      <w:r>
        <w:rPr>
          <w:rFonts w:hint="eastAsia" w:ascii="宋体" w:hAnsi="宋体" w:cs="宋体"/>
          <w:kern w:val="0"/>
          <w:sz w:val="32"/>
          <w:szCs w:val="32"/>
        </w:rPr>
        <w:t>2018年度，纳入本部门决算汇编范围的独立核算单位</w:t>
      </w:r>
    </w:p>
    <w:p>
      <w:pPr>
        <w:autoSpaceDE w:val="0"/>
        <w:autoSpaceDN w:val="0"/>
        <w:adjustRightInd w:val="0"/>
        <w:spacing w:after="0" w:line="560" w:lineRule="exact"/>
        <w:jc w:val="left"/>
        <w:rPr>
          <w:rFonts w:ascii="宋体" w:hAnsi="宋体" w:cs="宋体"/>
          <w:kern w:val="0"/>
          <w:sz w:val="32"/>
          <w:szCs w:val="32"/>
        </w:rPr>
      </w:pPr>
      <w:r>
        <w:rPr>
          <w:rFonts w:hint="eastAsia" w:ascii="宋体" w:hAnsi="宋体" w:cs="宋体"/>
          <w:kern w:val="0"/>
          <w:sz w:val="32"/>
          <w:szCs w:val="32"/>
        </w:rPr>
        <w:t>共1个，单位基本性质为事业单位，预算管理级次为一级预算单位，执行事业单位会计制度，较上年无增减变化。无下属单位。</w:t>
      </w:r>
    </w:p>
    <w:p>
      <w:pPr>
        <w:autoSpaceDE w:val="0"/>
        <w:autoSpaceDN w:val="0"/>
        <w:adjustRightInd w:val="0"/>
        <w:spacing w:after="0" w:line="560" w:lineRule="exact"/>
        <w:jc w:val="left"/>
        <w:rPr>
          <w:rFonts w:ascii="宋体" w:hAnsi="宋体" w:cs="宋体"/>
          <w:kern w:val="0"/>
          <w:sz w:val="32"/>
          <w:szCs w:val="32"/>
        </w:rPr>
      </w:pPr>
    </w:p>
    <w:tbl>
      <w:tblPr>
        <w:tblStyle w:val="13"/>
        <w:tblW w:w="977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7"/>
        <w:gridCol w:w="1432"/>
        <w:gridCol w:w="1845"/>
        <w:gridCol w:w="41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4" w:hRule="atLeast"/>
          <w:tblHeader/>
          <w:jc w:val="center"/>
        </w:trPr>
        <w:tc>
          <w:tcPr>
            <w:tcW w:w="2307" w:type="dxa"/>
            <w:vMerge w:val="restart"/>
            <w:vAlign w:val="center"/>
          </w:tcPr>
          <w:p>
            <w:pPr>
              <w:rPr>
                <w:sz w:val="30"/>
                <w:szCs w:val="30"/>
              </w:rPr>
            </w:pPr>
            <w:r>
              <w:rPr>
                <w:rFonts w:hint="eastAsia"/>
                <w:sz w:val="30"/>
                <w:szCs w:val="30"/>
              </w:rPr>
              <w:t>单位名称</w:t>
            </w:r>
          </w:p>
        </w:tc>
        <w:tc>
          <w:tcPr>
            <w:tcW w:w="1432" w:type="dxa"/>
            <w:vMerge w:val="restart"/>
            <w:vAlign w:val="center"/>
          </w:tcPr>
          <w:p>
            <w:pPr>
              <w:rPr>
                <w:sz w:val="30"/>
                <w:szCs w:val="30"/>
              </w:rPr>
            </w:pPr>
            <w:r>
              <w:rPr>
                <w:rFonts w:hint="eastAsia"/>
                <w:sz w:val="30"/>
                <w:szCs w:val="30"/>
              </w:rPr>
              <w:t>单位性质</w:t>
            </w:r>
          </w:p>
        </w:tc>
        <w:tc>
          <w:tcPr>
            <w:tcW w:w="1845" w:type="dxa"/>
            <w:vMerge w:val="restart"/>
            <w:vAlign w:val="center"/>
          </w:tcPr>
          <w:p>
            <w:pPr>
              <w:rPr>
                <w:sz w:val="30"/>
                <w:szCs w:val="30"/>
              </w:rPr>
            </w:pPr>
            <w:r>
              <w:rPr>
                <w:rFonts w:hint="eastAsia"/>
                <w:sz w:val="30"/>
                <w:szCs w:val="30"/>
              </w:rPr>
              <w:t>单位规格</w:t>
            </w:r>
          </w:p>
        </w:tc>
        <w:tc>
          <w:tcPr>
            <w:tcW w:w="4192" w:type="dxa"/>
            <w:vMerge w:val="restart"/>
            <w:vAlign w:val="center"/>
          </w:tcPr>
          <w:p>
            <w:pPr>
              <w:rPr>
                <w:sz w:val="30"/>
                <w:szCs w:val="30"/>
              </w:rPr>
            </w:pPr>
            <w:r>
              <w:rPr>
                <w:rFonts w:hint="eastAsia"/>
                <w:sz w:val="30"/>
                <w:szCs w:val="30"/>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84" w:hRule="atLeast"/>
          <w:tblHeader/>
          <w:jc w:val="center"/>
        </w:trPr>
        <w:tc>
          <w:tcPr>
            <w:tcW w:w="2307" w:type="dxa"/>
            <w:vMerge w:val="continue"/>
            <w:vAlign w:val="center"/>
          </w:tcPr>
          <w:p>
            <w:pPr>
              <w:rPr>
                <w:sz w:val="30"/>
                <w:szCs w:val="30"/>
              </w:rPr>
            </w:pPr>
          </w:p>
        </w:tc>
        <w:tc>
          <w:tcPr>
            <w:tcW w:w="1432" w:type="dxa"/>
            <w:vMerge w:val="continue"/>
            <w:vAlign w:val="center"/>
          </w:tcPr>
          <w:p>
            <w:pPr>
              <w:rPr>
                <w:sz w:val="30"/>
                <w:szCs w:val="30"/>
              </w:rPr>
            </w:pPr>
          </w:p>
        </w:tc>
        <w:tc>
          <w:tcPr>
            <w:tcW w:w="1845" w:type="dxa"/>
            <w:vMerge w:val="continue"/>
            <w:vAlign w:val="center"/>
          </w:tcPr>
          <w:p>
            <w:pPr>
              <w:rPr>
                <w:sz w:val="30"/>
                <w:szCs w:val="30"/>
              </w:rPr>
            </w:pPr>
          </w:p>
        </w:tc>
        <w:tc>
          <w:tcPr>
            <w:tcW w:w="4192" w:type="dxa"/>
            <w:vMerge w:val="continue"/>
            <w:vAlign w:val="center"/>
          </w:tcPr>
          <w:p>
            <w:pPr>
              <w:rPr>
                <w:sz w:val="30"/>
                <w:szCs w:val="3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07" w:type="dxa"/>
            <w:vAlign w:val="center"/>
          </w:tcPr>
          <w:p>
            <w:pPr>
              <w:rPr>
                <w:sz w:val="30"/>
                <w:szCs w:val="30"/>
              </w:rPr>
            </w:pPr>
            <w:r>
              <w:rPr>
                <w:rFonts w:hint="eastAsia"/>
                <w:sz w:val="30"/>
                <w:szCs w:val="30"/>
              </w:rPr>
              <w:t>高邑县广播电视台</w:t>
            </w:r>
          </w:p>
        </w:tc>
        <w:tc>
          <w:tcPr>
            <w:tcW w:w="1432" w:type="dxa"/>
            <w:vAlign w:val="center"/>
          </w:tcPr>
          <w:p>
            <w:pPr>
              <w:rPr>
                <w:sz w:val="30"/>
                <w:szCs w:val="30"/>
              </w:rPr>
            </w:pPr>
            <w:r>
              <w:rPr>
                <w:rFonts w:hint="eastAsia"/>
                <w:sz w:val="30"/>
                <w:szCs w:val="30"/>
              </w:rPr>
              <w:t>事业</w:t>
            </w:r>
          </w:p>
        </w:tc>
        <w:tc>
          <w:tcPr>
            <w:tcW w:w="1845" w:type="dxa"/>
            <w:vAlign w:val="center"/>
          </w:tcPr>
          <w:p>
            <w:pPr>
              <w:rPr>
                <w:sz w:val="30"/>
                <w:szCs w:val="30"/>
              </w:rPr>
            </w:pPr>
            <w:r>
              <w:rPr>
                <w:rFonts w:hint="eastAsia"/>
                <w:sz w:val="30"/>
                <w:szCs w:val="30"/>
              </w:rPr>
              <w:t>正科级</w:t>
            </w:r>
          </w:p>
        </w:tc>
        <w:tc>
          <w:tcPr>
            <w:tcW w:w="4192" w:type="dxa"/>
            <w:vAlign w:val="center"/>
          </w:tcPr>
          <w:p>
            <w:pPr>
              <w:rPr>
                <w:sz w:val="30"/>
                <w:szCs w:val="30"/>
              </w:rPr>
            </w:pPr>
            <w:r>
              <w:rPr>
                <w:rFonts w:hint="eastAsia"/>
                <w:sz w:val="30"/>
                <w:szCs w:val="30"/>
              </w:rPr>
              <w:t>财政补助</w:t>
            </w:r>
          </w:p>
        </w:tc>
      </w:tr>
    </w:tbl>
    <w:p>
      <w:pPr>
        <w:ind w:firstLine="600" w:firstLineChars="200"/>
        <w:rPr>
          <w:rFonts w:ascii="宋体" w:hAnsi="宋体" w:cs="宋体"/>
          <w:kern w:val="0"/>
          <w:sz w:val="32"/>
          <w:szCs w:val="32"/>
        </w:rPr>
        <w:sectPr>
          <w:pgSz w:w="11906" w:h="16838"/>
          <w:pgMar w:top="2098" w:right="1474" w:bottom="1985" w:left="1588" w:header="851" w:footer="992" w:gutter="0"/>
          <w:pgNumType w:start="0"/>
          <w:cols w:space="425" w:num="1"/>
          <w:titlePg/>
          <w:docGrid w:type="lines" w:linePitch="312" w:charSpace="0"/>
        </w:sectPr>
      </w:pPr>
      <w:r>
        <w:rPr>
          <w:rFonts w:hint="eastAsia"/>
          <w:sz w:val="30"/>
          <w:szCs w:val="30"/>
        </w:rPr>
        <w:t>高邑县广播电视台是隶属中共高邑县委宣传部，财政补助的事业单位。设有办公室、总编室。新闻部、专题部、广告部、技术部六个科室。核定全额事业编制27名</w:t>
      </w:r>
    </w:p>
    <w:p>
      <w:pPr>
        <w:widowControl/>
        <w:spacing w:line="560" w:lineRule="exact"/>
        <w:jc w:val="both"/>
        <w:rPr>
          <w:rFonts w:ascii="宋体" w:hAnsi="宋体" w:cs="宋体"/>
          <w:bCs/>
          <w:kern w:val="0"/>
          <w:sz w:val="52"/>
          <w:szCs w:val="52"/>
        </w:rPr>
      </w:pPr>
    </w:p>
    <w:p>
      <w:pPr>
        <w:pStyle w:val="2"/>
        <w:spacing w:line="560" w:lineRule="exact"/>
        <w:jc w:val="center"/>
        <w:rPr>
          <w:rFonts w:ascii="宋体" w:hAnsi="宋体" w:cs="宋体"/>
          <w:color w:val="000000"/>
          <w:kern w:val="0"/>
        </w:rPr>
      </w:pPr>
      <w:r>
        <w:rPr>
          <w:rFonts w:hint="eastAsia" w:ascii="宋体" w:hAnsi="宋体" w:cs="宋体"/>
          <w:color w:val="000000"/>
          <w:kern w:val="0"/>
        </w:rPr>
        <w:t>第二部分 2018年度部门决算报表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本部门应公开</w:t>
      </w:r>
      <w:r>
        <w:rPr>
          <w:rFonts w:ascii="仿宋" w:hAnsi="仿宋" w:eastAsia="仿宋"/>
          <w:sz w:val="32"/>
          <w:szCs w:val="32"/>
          <w:highlight w:val="none"/>
        </w:rPr>
        <w:t>10</w:t>
      </w:r>
      <w:r>
        <w:rPr>
          <w:rFonts w:hint="eastAsia" w:ascii="仿宋" w:hAnsi="仿宋" w:eastAsia="仿宋"/>
          <w:sz w:val="32"/>
          <w:szCs w:val="32"/>
          <w:highlight w:val="none"/>
        </w:rPr>
        <w:t>张决算表格，即：</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一、收入支出决算总表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01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二、收入决算表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02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三、支出决算表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03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四、财政拨款收入支出决算总表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04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五、</w:t>
      </w:r>
      <w:r>
        <w:rPr>
          <w:rFonts w:eastAsia="仿宋_GB2312"/>
          <w:sz w:val="32"/>
          <w:szCs w:val="32"/>
        </w:rPr>
        <w:t>一般公共预算财政拨款支出决算表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05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六、</w:t>
      </w:r>
      <w:r>
        <w:rPr>
          <w:rFonts w:eastAsia="仿宋_GB2312"/>
          <w:sz w:val="32"/>
          <w:szCs w:val="32"/>
        </w:rPr>
        <w:t>一般公共预算财政拨款基本支出决算表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06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07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darkCyan"/>
        </w:rPr>
      </w:pPr>
      <w:r>
        <w:rPr>
          <w:rFonts w:hint="eastAsia" w:ascii="仿宋" w:hAnsi="仿宋" w:eastAsia="仿宋"/>
          <w:sz w:val="32"/>
          <w:szCs w:val="32"/>
          <w:highlight w:val="none"/>
        </w:rPr>
        <w:t>八、</w:t>
      </w:r>
      <w:r>
        <w:rPr>
          <w:rFonts w:eastAsia="仿宋_GB2312"/>
          <w:sz w:val="32"/>
          <w:szCs w:val="32"/>
        </w:rPr>
        <w:t>政府性基金预算财政拨款收入支出决算表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08</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sz w:val="32"/>
          <w:szCs w:val="32"/>
          <w:highlight w:val="none"/>
        </w:rPr>
      </w:pPr>
      <w:r>
        <w:rPr>
          <w:rFonts w:hint="eastAsia" w:ascii="仿宋" w:hAnsi="仿宋" w:eastAsia="仿宋"/>
          <w:sz w:val="32"/>
          <w:szCs w:val="32"/>
          <w:highlight w:val="none"/>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09 </w:t>
      </w:r>
      <w:r>
        <w:rPr>
          <w:rFonts w:hint="eastAsia" w:ascii="仿宋" w:hAnsi="仿宋" w:eastAsia="仿宋" w:cs="宋体"/>
          <w:kern w:val="0"/>
          <w:sz w:val="32"/>
          <w:szCs w:val="32"/>
          <w:highlight w:val="none"/>
        </w:rPr>
        <w:t>表）</w:t>
      </w:r>
    </w:p>
    <w:p>
      <w:pPr>
        <w:widowControl/>
        <w:spacing w:after="0" w:line="240" w:lineRule="auto"/>
        <w:ind w:left="640" w:firstLine="640" w:firstLineChars="200"/>
        <w:rPr>
          <w:rFonts w:ascii="仿宋" w:hAnsi="仿宋" w:eastAsia="仿宋" w:cs="宋体"/>
          <w:kern w:val="0"/>
          <w:sz w:val="32"/>
          <w:szCs w:val="32"/>
          <w:highlight w:val="none"/>
        </w:rPr>
      </w:pPr>
      <w:r>
        <w:rPr>
          <w:rFonts w:hint="eastAsia" w:ascii="仿宋" w:hAnsi="仿宋" w:eastAsia="仿宋"/>
          <w:sz w:val="32"/>
          <w:szCs w:val="32"/>
          <w:highlight w:val="none"/>
        </w:rPr>
        <w:t>十、政府采购情况表</w:t>
      </w:r>
      <w:r>
        <w:rPr>
          <w:rFonts w:hint="eastAsia" w:ascii="仿宋" w:hAnsi="仿宋" w:eastAsia="仿宋" w:cs="宋体"/>
          <w:kern w:val="0"/>
          <w:sz w:val="32"/>
          <w:szCs w:val="32"/>
          <w:highlight w:val="none"/>
        </w:rPr>
        <w:t>（公开</w:t>
      </w:r>
      <w:r>
        <w:rPr>
          <w:rFonts w:ascii="仿宋" w:hAnsi="仿宋" w:eastAsia="仿宋" w:cs="宋体"/>
          <w:kern w:val="0"/>
          <w:sz w:val="32"/>
          <w:szCs w:val="32"/>
          <w:highlight w:val="none"/>
        </w:rPr>
        <w:t xml:space="preserve">10 </w:t>
      </w:r>
      <w:r>
        <w:rPr>
          <w:rFonts w:hint="eastAsia" w:ascii="仿宋" w:hAnsi="仿宋" w:eastAsia="仿宋" w:cs="宋体"/>
          <w:kern w:val="0"/>
          <w:sz w:val="32"/>
          <w:szCs w:val="32"/>
          <w:highlight w:val="none"/>
        </w:rPr>
        <w:t>表）</w:t>
      </w:r>
    </w:p>
    <w:p>
      <w:pPr>
        <w:autoSpaceDE w:val="0"/>
        <w:autoSpaceDN w:val="0"/>
        <w:spacing w:after="0" w:line="240" w:lineRule="auto"/>
        <w:ind w:firstLine="640" w:firstLineChars="200"/>
        <w:rPr>
          <w:rFonts w:ascii="仿宋" w:hAnsi="仿宋" w:eastAsia="仿宋" w:cs="宋体"/>
          <w:kern w:val="0"/>
          <w:sz w:val="32"/>
          <w:szCs w:val="32"/>
          <w:highlight w:val="none"/>
        </w:rPr>
      </w:pPr>
      <w:r>
        <w:rPr>
          <w:rFonts w:hint="eastAsia" w:ascii="仿宋" w:hAnsi="仿宋" w:eastAsia="仿宋" w:cs="宋体"/>
          <w:kern w:val="0"/>
          <w:sz w:val="32"/>
          <w:szCs w:val="32"/>
          <w:highlight w:val="none"/>
        </w:rPr>
        <w:t>详见附表：《高邑县</w:t>
      </w:r>
      <w:r>
        <w:rPr>
          <w:rFonts w:hint="eastAsia" w:ascii="仿宋" w:hAnsi="仿宋" w:eastAsia="仿宋" w:cs="宋体"/>
          <w:kern w:val="0"/>
          <w:sz w:val="32"/>
          <w:szCs w:val="32"/>
          <w:highlight w:val="none"/>
          <w:lang w:eastAsia="zh-CN"/>
        </w:rPr>
        <w:t>广播电视台</w:t>
      </w:r>
      <w:r>
        <w:rPr>
          <w:rFonts w:ascii="仿宋" w:hAnsi="仿宋" w:eastAsia="仿宋" w:cs="宋体"/>
          <w:kern w:val="0"/>
          <w:sz w:val="32"/>
          <w:szCs w:val="32"/>
          <w:highlight w:val="none"/>
        </w:rPr>
        <w:t>2018</w:t>
      </w:r>
      <w:r>
        <w:rPr>
          <w:rFonts w:hint="eastAsia" w:ascii="仿宋" w:hAnsi="仿宋" w:eastAsia="仿宋" w:cs="宋体"/>
          <w:kern w:val="0"/>
          <w:sz w:val="32"/>
          <w:szCs w:val="32"/>
          <w:highlight w:val="none"/>
        </w:rPr>
        <w:t>年度部门决算公开表》</w:t>
      </w:r>
    </w:p>
    <w:p>
      <w:pPr>
        <w:autoSpaceDE w:val="0"/>
        <w:autoSpaceDN w:val="0"/>
        <w:adjustRightInd w:val="0"/>
        <w:spacing w:line="560" w:lineRule="exact"/>
        <w:jc w:val="left"/>
        <w:rPr>
          <w:rFonts w:ascii="宋体" w:hAnsi="宋体" w:cs="宋体"/>
          <w:b/>
          <w:color w:val="FF0000"/>
          <w:kern w:val="0"/>
          <w:sz w:val="44"/>
          <w:szCs w:val="44"/>
        </w:rPr>
      </w:pPr>
    </w:p>
    <w:p>
      <w:pPr>
        <w:autoSpaceDE w:val="0"/>
        <w:autoSpaceDN w:val="0"/>
        <w:adjustRightInd w:val="0"/>
        <w:spacing w:line="560" w:lineRule="exact"/>
        <w:jc w:val="left"/>
        <w:rPr>
          <w:rFonts w:ascii="宋体" w:hAnsi="宋体" w:cs="宋体"/>
          <w:b/>
          <w:color w:val="FF0000"/>
          <w:kern w:val="0"/>
          <w:sz w:val="44"/>
          <w:szCs w:val="44"/>
        </w:rPr>
      </w:pPr>
    </w:p>
    <w:p>
      <w:pPr>
        <w:autoSpaceDE w:val="0"/>
        <w:autoSpaceDN w:val="0"/>
        <w:adjustRightInd w:val="0"/>
        <w:spacing w:line="560" w:lineRule="exact"/>
        <w:jc w:val="left"/>
        <w:rPr>
          <w:rFonts w:ascii="宋体" w:hAnsi="宋体" w:cs="宋体"/>
          <w:b/>
          <w:color w:val="FF0000"/>
          <w:kern w:val="0"/>
          <w:sz w:val="44"/>
          <w:szCs w:val="44"/>
        </w:rPr>
      </w:pPr>
    </w:p>
    <w:p>
      <w:pPr>
        <w:autoSpaceDE w:val="0"/>
        <w:autoSpaceDN w:val="0"/>
        <w:adjustRightInd w:val="0"/>
        <w:spacing w:line="560" w:lineRule="exact"/>
        <w:jc w:val="left"/>
        <w:rPr>
          <w:rFonts w:ascii="宋体" w:hAnsi="宋体" w:cs="宋体"/>
          <w:b/>
          <w:color w:val="FF0000"/>
          <w:kern w:val="0"/>
          <w:sz w:val="44"/>
          <w:szCs w:val="44"/>
        </w:rPr>
      </w:pPr>
    </w:p>
    <w:p>
      <w:pPr>
        <w:pStyle w:val="2"/>
        <w:numPr>
          <w:ilvl w:val="0"/>
          <w:numId w:val="0"/>
        </w:numPr>
        <w:spacing w:line="560" w:lineRule="exact"/>
        <w:jc w:val="both"/>
        <w:rPr>
          <w:rFonts w:hint="eastAsia" w:ascii="宋体" w:hAnsi="宋体" w:cs="宋体"/>
          <w:color w:val="000000"/>
          <w:kern w:val="0"/>
        </w:rPr>
      </w:pPr>
    </w:p>
    <w:p>
      <w:pPr>
        <w:pStyle w:val="2"/>
        <w:numPr>
          <w:ilvl w:val="0"/>
          <w:numId w:val="0"/>
        </w:numPr>
        <w:spacing w:line="560" w:lineRule="exact"/>
        <w:ind w:firstLine="2650" w:firstLineChars="600"/>
        <w:jc w:val="both"/>
        <w:rPr>
          <w:rFonts w:hint="eastAsia" w:ascii="宋体" w:hAnsi="宋体" w:cs="宋体"/>
          <w:color w:val="000000"/>
          <w:kern w:val="0"/>
        </w:rPr>
      </w:pPr>
    </w:p>
    <w:p>
      <w:pPr>
        <w:widowControl w:val="0"/>
        <w:numPr>
          <w:ilvl w:val="0"/>
          <w:numId w:val="0"/>
        </w:numPr>
        <w:spacing w:after="160" w:line="480" w:lineRule="auto"/>
        <w:jc w:val="center"/>
        <w:rPr>
          <w:b/>
          <w:bCs/>
          <w:sz w:val="52"/>
          <w:szCs w:val="52"/>
        </w:rPr>
      </w:pPr>
    </w:p>
    <w:p>
      <w:pPr>
        <w:widowControl w:val="0"/>
        <w:numPr>
          <w:ilvl w:val="0"/>
          <w:numId w:val="0"/>
        </w:numPr>
        <w:spacing w:after="160" w:line="480" w:lineRule="auto"/>
        <w:jc w:val="center"/>
        <w:rPr>
          <w:rFonts w:hint="default" w:eastAsia="宋体"/>
          <w:b/>
          <w:bCs/>
          <w:sz w:val="52"/>
          <w:szCs w:val="52"/>
          <w:lang w:val="en-US" w:eastAsia="zh-CN"/>
        </w:rPr>
      </w:pPr>
      <w:r>
        <w:rPr>
          <w:rFonts w:hint="eastAsia"/>
          <w:b/>
          <w:bCs/>
          <w:sz w:val="52"/>
          <w:szCs w:val="52"/>
          <w:lang w:eastAsia="zh-CN"/>
        </w:rPr>
        <w:t>第三部分</w:t>
      </w:r>
      <w:r>
        <w:rPr>
          <w:rFonts w:hint="eastAsia"/>
          <w:b/>
          <w:bCs/>
          <w:sz w:val="52"/>
          <w:szCs w:val="52"/>
          <w:lang w:val="en-US" w:eastAsia="zh-CN"/>
        </w:rPr>
        <w:t xml:space="preserve"> 部门决算情况说明</w:t>
      </w: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一、收入</w:t>
      </w:r>
      <w:r>
        <w:rPr>
          <w:rFonts w:hint="eastAsia" w:ascii="宋体" w:hAnsi="宋体" w:eastAsia="宋体" w:cs="宋体"/>
          <w:kern w:val="0"/>
        </w:rPr>
        <w:t>支出</w:t>
      </w:r>
      <w:r>
        <w:rPr>
          <w:rFonts w:hint="eastAsia" w:ascii="宋体" w:hAnsi="宋体" w:eastAsia="宋体" w:cs="宋体"/>
        </w:rPr>
        <w:t>决算总体情况说明</w:t>
      </w:r>
    </w:p>
    <w:p>
      <w:pPr>
        <w:ind w:firstLine="640" w:firstLineChars="200"/>
        <w:rPr>
          <w:rFonts w:ascii="宋体" w:hAnsi="宋体" w:cs="宋体"/>
          <w:sz w:val="32"/>
          <w:szCs w:val="32"/>
        </w:rPr>
      </w:pPr>
      <w:r>
        <w:rPr>
          <w:rFonts w:hint="eastAsia" w:ascii="宋体" w:hAnsi="宋体" w:cs="宋体"/>
          <w:sz w:val="32"/>
          <w:szCs w:val="32"/>
        </w:rPr>
        <w:t>本部门2018年度年初结转和结余0.88万元，本年收入270.78万元，本年支出261.84万元，年末结转和结余9.81万元。与2017年度决算相比，本年收入增加112.74万元，增长了41.63%，主要是县级项目增加；本年支出增加104.22万元，增长了39.8%，主要是2018年县级项目支出增长。</w:t>
      </w: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二、收入决算情况说明</w:t>
      </w:r>
    </w:p>
    <w:p>
      <w:pPr>
        <w:adjustRightInd w:val="0"/>
        <w:snapToGrid w:val="0"/>
        <w:spacing w:line="560" w:lineRule="exact"/>
        <w:ind w:firstLine="640" w:firstLineChars="200"/>
        <w:rPr>
          <w:rFonts w:ascii="宋体" w:hAnsi="宋体" w:cs="宋体"/>
          <w:sz w:val="32"/>
          <w:szCs w:val="32"/>
        </w:rPr>
      </w:pPr>
      <w:r>
        <w:rPr>
          <w:rFonts w:hint="eastAsia" w:ascii="宋体" w:hAnsi="宋体" w:cs="宋体"/>
          <w:sz w:val="32"/>
          <w:szCs w:val="32"/>
        </w:rPr>
        <w:t>本部门2018年度本年收入270.78万元，其中：财政拨款收入270.78万元，占本年收入的100%；事业收入0万元，占本年收入的0%；经营收入0万元，占本年收入的0%；其他收入0万元，占本年收入0%。</w:t>
      </w:r>
    </w:p>
    <w:p>
      <w:pPr>
        <w:adjustRightInd w:val="0"/>
        <w:snapToGrid w:val="0"/>
        <w:spacing w:line="560" w:lineRule="exact"/>
        <w:ind w:firstLine="640" w:firstLineChars="200"/>
        <w:rPr>
          <w:rFonts w:ascii="宋体" w:hAnsi="宋体" w:cs="宋体"/>
          <w:sz w:val="32"/>
          <w:szCs w:val="32"/>
        </w:rPr>
      </w:pPr>
      <w:r>
        <w:rPr>
          <w:rFonts w:hint="eastAsia" w:ascii="宋体" w:hAnsi="宋体" w:cs="宋体"/>
          <w:sz w:val="32"/>
          <w:szCs w:val="32"/>
        </w:rPr>
        <w:t>图 1：2018 年收入决算结构饼状图</w:t>
      </w:r>
    </w:p>
    <w:p>
      <w:pPr>
        <w:rPr>
          <w:rFonts w:hint="eastAsia" w:ascii="宋体" w:hAnsi="宋体" w:eastAsia="宋体" w:cs="宋体"/>
        </w:rPr>
      </w:pPr>
      <w:r>
        <w:rPr>
          <w:rFonts w:ascii="Arial" w:hAnsi="Arial" w:cs="Arial"/>
          <w:color w:val="000000"/>
          <w:kern w:val="0"/>
          <w:sz w:val="20"/>
          <w:szCs w:val="20"/>
        </w:rPr>
        <w:drawing>
          <wp:anchor distT="0" distB="0" distL="114300" distR="114300" simplePos="0" relativeHeight="251659264" behindDoc="0" locked="0" layoutInCell="1" allowOverlap="1">
            <wp:simplePos x="0" y="0"/>
            <wp:positionH relativeFrom="column">
              <wp:posOffset>5715</wp:posOffset>
            </wp:positionH>
            <wp:positionV relativeFrom="paragraph">
              <wp:posOffset>298450</wp:posOffset>
            </wp:positionV>
            <wp:extent cx="3848735" cy="2266950"/>
            <wp:effectExtent l="6350" t="6350" r="12065" b="12700"/>
            <wp:wrapNone/>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rPr>
          <w:rFonts w:hint="eastAsia" w:ascii="宋体" w:hAnsi="宋体" w:eastAsia="宋体" w:cs="宋体"/>
        </w:rPr>
      </w:pPr>
    </w:p>
    <w:p>
      <w:pPr>
        <w:pStyle w:val="3"/>
        <w:spacing w:before="0" w:after="0" w:line="560" w:lineRule="exact"/>
        <w:rPr>
          <w:rFonts w:hint="eastAsia" w:ascii="宋体" w:hAnsi="宋体" w:eastAsia="宋体" w:cs="宋体"/>
        </w:rPr>
      </w:pPr>
    </w:p>
    <w:p>
      <w:pPr>
        <w:rPr>
          <w:rFonts w:hint="eastAsia"/>
        </w:rPr>
      </w:pPr>
    </w:p>
    <w:p>
      <w:pPr>
        <w:pStyle w:val="3"/>
        <w:spacing w:before="0" w:after="0" w:line="560" w:lineRule="exact"/>
        <w:ind w:firstLine="643" w:firstLineChars="200"/>
        <w:rPr>
          <w:rFonts w:hint="eastAsia" w:ascii="宋体" w:hAnsi="宋体" w:eastAsia="宋体" w:cs="宋体"/>
        </w:rPr>
      </w:pP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三、支出决算情况说明</w:t>
      </w:r>
    </w:p>
    <w:p>
      <w:pPr>
        <w:adjustRightInd w:val="0"/>
        <w:snapToGrid w:val="0"/>
        <w:spacing w:line="560" w:lineRule="exact"/>
        <w:ind w:firstLine="640" w:firstLineChars="200"/>
        <w:rPr>
          <w:rFonts w:ascii="宋体" w:hAnsi="宋体" w:cs="宋体"/>
          <w:sz w:val="32"/>
          <w:szCs w:val="32"/>
        </w:rPr>
      </w:pPr>
      <w:r>
        <w:rPr>
          <w:rFonts w:hint="eastAsia" w:ascii="宋体" w:hAnsi="宋体" w:cs="宋体"/>
          <w:sz w:val="32"/>
          <w:szCs w:val="32"/>
        </w:rPr>
        <w:t>本部门2018年度本年支出261.84万元，其中：基本支出58.9万元，占本年支出的22.49%；项目支出202.94万元，占本年支出的77.51%；经营支出0万元，占本年支出的0%。</w:t>
      </w:r>
    </w:p>
    <w:p>
      <w:pPr>
        <w:adjustRightInd w:val="0"/>
        <w:snapToGrid w:val="0"/>
        <w:spacing w:line="560" w:lineRule="exact"/>
        <w:rPr>
          <w:rFonts w:ascii="宋体" w:hAnsi="宋体" w:cs="宋体"/>
          <w:sz w:val="32"/>
          <w:szCs w:val="32"/>
        </w:rPr>
      </w:pPr>
      <w:r>
        <w:rPr>
          <w:rFonts w:ascii="Arial" w:hAnsi="Arial" w:cs="Arial"/>
          <w:color w:val="000000"/>
          <w:kern w:val="0"/>
          <w:sz w:val="20"/>
          <w:szCs w:val="20"/>
        </w:rPr>
        <w:drawing>
          <wp:anchor distT="0" distB="0" distL="114300" distR="114300" simplePos="0" relativeHeight="251660288" behindDoc="0" locked="0" layoutInCell="1" allowOverlap="1">
            <wp:simplePos x="0" y="0"/>
            <wp:positionH relativeFrom="column">
              <wp:posOffset>192405</wp:posOffset>
            </wp:positionH>
            <wp:positionV relativeFrom="paragraph">
              <wp:posOffset>388620</wp:posOffset>
            </wp:positionV>
            <wp:extent cx="4591050" cy="2762250"/>
            <wp:effectExtent l="0" t="0" r="1905" b="3175"/>
            <wp:wrapNone/>
            <wp:docPr id="1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r>
        <w:rPr>
          <w:rFonts w:hint="eastAsia" w:ascii="宋体" w:hAnsi="宋体" w:cs="宋体"/>
          <w:sz w:val="32"/>
          <w:szCs w:val="32"/>
        </w:rPr>
        <w:t>图 2：支出决算结构饼状图</w:t>
      </w:r>
    </w:p>
    <w:p>
      <w:pPr>
        <w:adjustRightInd w:val="0"/>
        <w:snapToGrid w:val="0"/>
        <w:spacing w:line="560" w:lineRule="exact"/>
        <w:ind w:firstLine="640" w:firstLineChars="200"/>
        <w:rPr>
          <w:rFonts w:ascii="宋体" w:hAnsi="宋体" w:cs="宋体"/>
          <w:sz w:val="32"/>
          <w:szCs w:val="32"/>
        </w:rPr>
      </w:pPr>
    </w:p>
    <w:p>
      <w:pPr>
        <w:adjustRightInd w:val="0"/>
        <w:snapToGrid w:val="0"/>
        <w:spacing w:line="560" w:lineRule="exact"/>
        <w:ind w:firstLine="640" w:firstLineChars="200"/>
        <w:rPr>
          <w:rFonts w:ascii="宋体" w:hAnsi="宋体" w:cs="宋体"/>
          <w:sz w:val="32"/>
          <w:szCs w:val="32"/>
        </w:rPr>
      </w:pPr>
    </w:p>
    <w:p>
      <w:pPr>
        <w:pStyle w:val="3"/>
        <w:spacing w:before="0" w:after="0" w:line="560" w:lineRule="exact"/>
        <w:rPr>
          <w:rFonts w:hint="eastAsia" w:ascii="宋体" w:hAnsi="宋体" w:eastAsia="宋体" w:cs="宋体"/>
        </w:rPr>
      </w:pPr>
    </w:p>
    <w:p>
      <w:pPr>
        <w:pStyle w:val="3"/>
        <w:spacing w:before="0" w:after="0" w:line="560" w:lineRule="exact"/>
        <w:rPr>
          <w:rFonts w:hint="eastAsia" w:ascii="宋体" w:hAnsi="宋体" w:eastAsia="宋体" w:cs="宋体"/>
        </w:rPr>
      </w:pPr>
    </w:p>
    <w:p>
      <w:pPr>
        <w:pStyle w:val="3"/>
        <w:spacing w:before="0" w:after="0" w:line="560" w:lineRule="exact"/>
        <w:rPr>
          <w:rFonts w:hint="eastAsia" w:ascii="宋体" w:hAnsi="宋体" w:eastAsia="宋体" w:cs="宋体"/>
        </w:rPr>
      </w:pPr>
    </w:p>
    <w:p>
      <w:pPr>
        <w:pStyle w:val="3"/>
        <w:spacing w:before="0" w:after="0" w:line="560" w:lineRule="exact"/>
        <w:rPr>
          <w:rFonts w:hint="eastAsia" w:ascii="宋体" w:hAnsi="宋体" w:eastAsia="宋体" w:cs="宋体"/>
        </w:rPr>
      </w:pPr>
    </w:p>
    <w:p>
      <w:pPr>
        <w:pStyle w:val="3"/>
        <w:spacing w:before="0" w:after="0" w:line="560" w:lineRule="exact"/>
        <w:rPr>
          <w:rFonts w:hint="eastAsia" w:ascii="宋体" w:hAnsi="宋体" w:eastAsia="宋体" w:cs="宋体"/>
        </w:rPr>
      </w:pPr>
    </w:p>
    <w:p>
      <w:pPr>
        <w:pStyle w:val="3"/>
        <w:spacing w:before="0" w:after="0" w:line="560" w:lineRule="exact"/>
        <w:rPr>
          <w:rFonts w:hint="eastAsia" w:ascii="宋体" w:hAnsi="宋体" w:eastAsia="宋体" w:cs="宋体"/>
        </w:rPr>
      </w:pPr>
    </w:p>
    <w:p>
      <w:pPr>
        <w:pStyle w:val="3"/>
        <w:spacing w:before="0" w:after="0" w:line="560" w:lineRule="exact"/>
        <w:rPr>
          <w:rFonts w:ascii="宋体" w:hAnsi="宋体" w:eastAsia="宋体" w:cs="宋体"/>
        </w:rPr>
      </w:pPr>
      <w:r>
        <w:rPr>
          <w:rFonts w:hint="eastAsia" w:ascii="宋体" w:hAnsi="宋体" w:eastAsia="宋体" w:cs="宋体"/>
        </w:rPr>
        <w:t>四、</w:t>
      </w:r>
      <w:r>
        <w:rPr>
          <w:rFonts w:hint="eastAsia" w:ascii="宋体" w:hAnsi="宋体" w:eastAsia="宋体" w:cs="宋体"/>
          <w:kern w:val="0"/>
        </w:rPr>
        <w:t>财政</w:t>
      </w:r>
      <w:r>
        <w:rPr>
          <w:rFonts w:hint="eastAsia" w:ascii="宋体" w:hAnsi="宋体" w:eastAsia="宋体" w:cs="宋体"/>
        </w:rPr>
        <w:t>拨款收入支出决算情况说明</w:t>
      </w:r>
    </w:p>
    <w:p>
      <w:pPr>
        <w:spacing w:after="0" w:line="560" w:lineRule="exact"/>
        <w:ind w:firstLine="643" w:firstLineChars="200"/>
        <w:rPr>
          <w:rFonts w:ascii="宋体" w:hAnsi="宋体" w:cs="宋体"/>
          <w:sz w:val="32"/>
          <w:szCs w:val="32"/>
        </w:rPr>
      </w:pPr>
      <w:r>
        <w:rPr>
          <w:rFonts w:hint="eastAsia" w:ascii="宋体" w:hAnsi="宋体" w:cs="宋体"/>
          <w:b/>
          <w:bCs/>
          <w:sz w:val="32"/>
          <w:szCs w:val="32"/>
        </w:rPr>
        <w:t>（一）财政拨款收支与2017 年度决算对比情况</w:t>
      </w:r>
    </w:p>
    <w:p>
      <w:pPr>
        <w:ind w:firstLine="640" w:firstLineChars="200"/>
        <w:rPr>
          <w:rFonts w:ascii="宋体" w:hAnsi="宋体" w:cs="宋体"/>
          <w:sz w:val="32"/>
          <w:szCs w:val="32"/>
        </w:rPr>
      </w:pPr>
      <w:r>
        <w:rPr>
          <w:rFonts w:hint="eastAsia" w:ascii="宋体" w:hAnsi="宋体" w:cs="宋体"/>
          <w:sz w:val="32"/>
          <w:szCs w:val="32"/>
        </w:rPr>
        <w:t>本部门2018年度财政拨款年初结转和结余0.88万元，本年收入270.78万元；本年支出261.84万元。年末结转和结余9.81万元。与2017年度决算相比，本年收入增加112.74万元，增长了41.63%，主要是县级项目增加；本年支出增加104.22万元，增长了39.8%，主要是2018年县级项目支出增长。</w:t>
      </w:r>
    </w:p>
    <w:p>
      <w:pPr>
        <w:ind w:firstLine="640" w:firstLineChars="200"/>
        <w:rPr>
          <w:rFonts w:ascii="宋体" w:hAnsi="宋体" w:cs="宋体"/>
          <w:sz w:val="32"/>
          <w:szCs w:val="32"/>
        </w:rPr>
      </w:pPr>
      <w:r>
        <w:rPr>
          <w:rFonts w:hint="eastAsia" w:ascii="宋体" w:hAnsi="宋体" w:cs="宋体"/>
          <w:sz w:val="32"/>
          <w:szCs w:val="32"/>
        </w:rPr>
        <w:t>其中，一般公共预算财政拨款年初结转和结余0.88万元、本年收入270.78万元；本年支出261.84万元、年末结转和结余9.81万元。与2017年度决算相比，一般公共预算财政拨款本年收入本年收入增加112.74万元，增长了41.63%，主要是县级项目增加；本年支出增加104.22万元，增长了39.8%，主要是2018年县级项目支出增长。</w:t>
      </w:r>
    </w:p>
    <w:p>
      <w:pPr>
        <w:adjustRightInd w:val="0"/>
        <w:snapToGrid w:val="0"/>
        <w:spacing w:after="0" w:line="560" w:lineRule="exact"/>
        <w:ind w:firstLine="640" w:firstLineChars="200"/>
        <w:rPr>
          <w:rFonts w:hint="eastAsia" w:ascii="宋体" w:hAnsi="宋体" w:cs="宋体"/>
          <w:sz w:val="32"/>
          <w:szCs w:val="32"/>
        </w:rPr>
      </w:pPr>
      <w:r>
        <w:rPr>
          <w:rFonts w:hint="eastAsia" w:ascii="宋体" w:hAnsi="宋体" w:cs="宋体"/>
          <w:sz w:val="32"/>
          <w:szCs w:val="32"/>
        </w:rPr>
        <w:t>政府性基金预算财政拨款年初结转和结余0万元，本年收入0万元；本年支出0万元，年末结转和结余0万元。与2016年度决算相比，政府性基金预算财政拨款无变化。</w:t>
      </w:r>
    </w:p>
    <w:p>
      <w:pPr>
        <w:adjustRightInd w:val="0"/>
        <w:snapToGrid w:val="0"/>
        <w:spacing w:after="0" w:line="560" w:lineRule="exact"/>
        <w:ind w:firstLine="420" w:firstLineChars="200"/>
        <w:rPr>
          <w:rFonts w:hint="eastAsia" w:ascii="宋体" w:hAnsi="宋体" w:eastAsia="宋体" w:cs="宋体"/>
          <w:sz w:val="32"/>
          <w:szCs w:val="32"/>
          <w:lang w:eastAsia="zh-CN"/>
        </w:rPr>
      </w:pPr>
      <w:r>
        <w:drawing>
          <wp:anchor distT="0" distB="0" distL="0" distR="0" simplePos="0" relativeHeight="251688960" behindDoc="0" locked="0" layoutInCell="1" allowOverlap="1">
            <wp:simplePos x="0" y="0"/>
            <wp:positionH relativeFrom="column">
              <wp:posOffset>569595</wp:posOffset>
            </wp:positionH>
            <wp:positionV relativeFrom="paragraph">
              <wp:posOffset>347980</wp:posOffset>
            </wp:positionV>
            <wp:extent cx="5274310" cy="3076575"/>
            <wp:effectExtent l="6350" t="6350" r="15240" b="22225"/>
            <wp:wrapTopAndBottom/>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adjustRightInd w:val="0"/>
        <w:snapToGrid w:val="0"/>
        <w:spacing w:after="0" w:line="560" w:lineRule="exact"/>
        <w:ind w:firstLine="640" w:firstLineChars="200"/>
        <w:rPr>
          <w:rFonts w:hint="eastAsia" w:ascii="宋体" w:hAnsi="宋体" w:cs="宋体"/>
          <w:sz w:val="32"/>
          <w:szCs w:val="32"/>
        </w:rPr>
      </w:pPr>
    </w:p>
    <w:p>
      <w:pPr>
        <w:spacing w:after="0" w:line="560" w:lineRule="exact"/>
        <w:rPr>
          <w:rFonts w:hint="eastAsia" w:ascii="宋体" w:hAnsi="宋体" w:cs="宋体"/>
          <w:b/>
          <w:bCs/>
          <w:sz w:val="32"/>
          <w:szCs w:val="32"/>
        </w:rPr>
      </w:pPr>
    </w:p>
    <w:p>
      <w:pPr>
        <w:spacing w:after="0" w:line="560" w:lineRule="exact"/>
        <w:ind w:firstLine="643" w:firstLineChars="200"/>
        <w:rPr>
          <w:rFonts w:ascii="宋体" w:hAnsi="宋体" w:cs="宋体"/>
          <w:sz w:val="32"/>
          <w:szCs w:val="32"/>
        </w:rPr>
      </w:pPr>
      <w:r>
        <w:rPr>
          <w:rFonts w:hint="eastAsia" w:ascii="宋体" w:hAnsi="宋体" w:cs="宋体"/>
          <w:b/>
          <w:bCs/>
          <w:sz w:val="32"/>
          <w:szCs w:val="32"/>
        </w:rPr>
        <w:t>（二）财政拨款收支与年初预算数对比情况</w:t>
      </w:r>
      <w:r>
        <w:rPr>
          <w:rFonts w:hint="eastAsia" w:ascii="宋体" w:hAnsi="宋体" w:cs="宋体"/>
          <w:sz w:val="32"/>
          <w:szCs w:val="32"/>
        </w:rPr>
        <w:t>。</w:t>
      </w:r>
    </w:p>
    <w:p>
      <w:pPr>
        <w:adjustRightInd w:val="0"/>
        <w:snapToGrid w:val="0"/>
        <w:spacing w:after="0" w:line="560" w:lineRule="exact"/>
        <w:ind w:firstLine="640" w:firstLineChars="200"/>
        <w:rPr>
          <w:rFonts w:ascii="宋体" w:hAnsi="宋体" w:cs="宋体"/>
          <w:sz w:val="32"/>
          <w:szCs w:val="32"/>
        </w:rPr>
      </w:pPr>
      <w:r>
        <w:rPr>
          <w:rFonts w:hint="eastAsia" w:ascii="宋体" w:hAnsi="宋体" w:cs="宋体"/>
          <w:sz w:val="32"/>
          <w:szCs w:val="32"/>
        </w:rPr>
        <w:t>本部门2018年度财政拨款本年收入较2018年初预算增加146.09万元，增长了117.16%，主要是工资调整和项目增加；本年支出增加137.15万元，增长了110%，主要是工资调整和项目支出增加.其中，本部门2018年度一般公共预算财政拨款本年收入较2018年初预算增加146.09万元，增长了117.16%，主要是人员工资和项目增加；本年支出增加137.15万元，增长了110%，主要是人员工资调整及项目增加。</w:t>
      </w:r>
    </w:p>
    <w:p>
      <w:pPr>
        <w:adjustRightInd w:val="0"/>
        <w:snapToGrid w:val="0"/>
        <w:spacing w:after="0" w:line="560" w:lineRule="exact"/>
        <w:ind w:firstLine="640" w:firstLineChars="200"/>
        <w:rPr>
          <w:rFonts w:hint="eastAsia" w:ascii="宋体" w:hAnsi="宋体" w:cs="宋体"/>
          <w:sz w:val="32"/>
          <w:szCs w:val="32"/>
        </w:rPr>
      </w:pPr>
      <w:r>
        <w:rPr>
          <w:rFonts w:hint="eastAsia" w:ascii="宋体" w:hAnsi="宋体" w:cs="宋体"/>
          <w:sz w:val="32"/>
          <w:szCs w:val="32"/>
        </w:rPr>
        <w:t>本部门2018年度政府性基金预算财政拨款本年收入较2018年初预算增加0万元，增减无变化。 本年支出0万元，增长无变化。</w:t>
      </w:r>
    </w:p>
    <w:p>
      <w:pPr>
        <w:spacing w:after="0" w:line="240" w:lineRule="auto"/>
        <w:ind w:firstLine="308" w:firstLineChars="147"/>
        <w:rPr>
          <w:rFonts w:hint="eastAsia" w:ascii="仿宋" w:hAnsi="仿宋" w:eastAsia="仿宋"/>
          <w:b/>
          <w:sz w:val="32"/>
          <w:szCs w:val="32"/>
          <w:highlight w:val="none"/>
        </w:rPr>
      </w:pPr>
      <w:r>
        <w:drawing>
          <wp:anchor distT="0" distB="0" distL="0" distR="0" simplePos="0" relativeHeight="251715584" behindDoc="0" locked="0" layoutInCell="1" allowOverlap="1">
            <wp:simplePos x="0" y="0"/>
            <wp:positionH relativeFrom="column">
              <wp:posOffset>302895</wp:posOffset>
            </wp:positionH>
            <wp:positionV relativeFrom="paragraph">
              <wp:posOffset>126365</wp:posOffset>
            </wp:positionV>
            <wp:extent cx="5274310" cy="3076575"/>
            <wp:effectExtent l="6350" t="6350" r="15240" b="22225"/>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spacing w:after="0" w:line="240" w:lineRule="auto"/>
        <w:ind w:firstLine="472" w:firstLineChars="147"/>
        <w:rPr>
          <w:rFonts w:ascii="??_GB2312" w:cs="DengXian-Bold"/>
          <w:b/>
          <w:bCs/>
          <w:sz w:val="32"/>
          <w:szCs w:val="32"/>
          <w:highlight w:val="none"/>
        </w:rPr>
      </w:pPr>
      <w:r>
        <w:rPr>
          <w:rFonts w:hint="eastAsia" w:ascii="仿宋" w:hAnsi="仿宋" w:eastAsia="仿宋"/>
          <w:b/>
          <w:sz w:val="32"/>
          <w:szCs w:val="32"/>
          <w:highlight w:val="none"/>
        </w:rPr>
        <w:t>（三）</w:t>
      </w:r>
      <w:r>
        <w:rPr>
          <w:rFonts w:hint="eastAsia" w:ascii="??_GB2312" w:hAnsi="??_GB2312" w:cs="DengXian-Bold"/>
          <w:b/>
          <w:bCs/>
          <w:sz w:val="32"/>
          <w:szCs w:val="32"/>
          <w:highlight w:val="none"/>
        </w:rPr>
        <w:t>财政拨款支出决算结构情况。</w:t>
      </w:r>
    </w:p>
    <w:p>
      <w:pPr>
        <w:adjustRightInd w:val="0"/>
        <w:snapToGrid w:val="0"/>
        <w:spacing w:after="0" w:line="560" w:lineRule="exact"/>
        <w:ind w:firstLine="640" w:firstLineChars="200"/>
        <w:rPr>
          <w:rFonts w:hint="eastAsia" w:ascii="宋体" w:hAnsi="宋体" w:cs="宋体"/>
          <w:sz w:val="32"/>
          <w:szCs w:val="32"/>
        </w:rPr>
      </w:pPr>
      <w:r>
        <w:rPr>
          <w:sz w:val="32"/>
        </w:rPr>
        <w:pict>
          <v:rect id="矩形 14" o:spid="_x0000_s1030" o:spt="1" style="position:absolute;left:0pt;margin-left:-112.05pt;margin-top:-72.95pt;height:35.3pt;width:30.8pt;z-index:251662336;v-text-anchor:middle;mso-width-relative:page;mso-height-relative:page;" filled="f" stroked="f" coordsize="21600,21600">
            <v:path/>
            <v:fill on="f" focussize="0,0"/>
            <v:stroke on="f" weight="2pt" joinstyle="round"/>
            <v:imagedata o:title=""/>
            <o:lock v:ext="edit" aspectratio="f"/>
            <v:textbox>
              <w:txbxContent>
                <w:p>
                  <w:pPr>
                    <w:pStyle w:val="3"/>
                    <w:spacing w:before="0" w:after="0" w:line="560" w:lineRule="exact"/>
                    <w:rPr>
                      <w:rFonts w:hint="eastAsia" w:ascii="宋体" w:hAnsi="宋体" w:eastAsia="宋体" w:cs="宋体"/>
                    </w:rPr>
                  </w:pP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五、一般公共预算财政拨款“三公” 经费支出决算情况说明</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本部门2018年度“三公”经费支出共计0万元，较年初预算无变化。比2017年无增加变化。严格执行中央、省、市、县压缩三公经费相关文件规定，厉行节俭、严格控制支出。具体情况如下：</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一）因公出国（境）费支出0万元。本部门2018年度参加其他单位组织的因公出国（境）团组0个、共0人。无本单位组织的出国（境）团组。因公出国（境）费支出较年初预算增加（减少）0万元，增长（降低）0%,较2017年度决算无增减变化。</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（二）公务用车购置及运行维护费支出0万元。本部门2018年度公务用车购置及运行维护费较年初预算无增减变化。</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公务用车购置费：本部门2018年度公务用车购置量0辆，发生“公务用车购置”经费支出0万元。公务用车购置费支出较年初预算增加（减少）0万元，增长（降低）0%,未发生公务用车购置经费支出，较年初预算无增减变化。较2017年度决算无增减变化。</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公务用车运行维护费：本部门2018年度单位公务用车保有量0辆。公车运行维护费支出0元，较年初预算无增减变化。</w:t>
                  </w:r>
                </w:p>
                <w:p>
                  <w:pPr>
                    <w:pStyle w:val="3"/>
                    <w:spacing w:before="0" w:after="0" w:line="560" w:lineRule="exact"/>
                    <w:ind w:firstLine="643" w:firstLineChars="200"/>
                    <w:rPr>
                      <w:rFonts w:hint="eastAsia" w:ascii="宋体" w:hAnsi="宋体" w:eastAsia="宋体" w:cs="宋体"/>
                    </w:rPr>
                  </w:pPr>
                  <w:r>
                    <w:rPr>
                      <w:rFonts w:hint="eastAsia" w:ascii="宋体" w:hAnsi="宋体" w:eastAsia="宋体" w:cs="宋体"/>
                    </w:rPr>
                    <w:t>（三）公务接待费支出0万元。本部门2018年度公务接待</w:t>
                  </w: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五、</w:t>
                  </w:r>
                  <w:r>
                    <w:rPr>
                      <w:rFonts w:hint="eastAsia" w:ascii="宋体" w:hAnsi="宋体" w:eastAsia="宋体" w:cs="宋体"/>
                      <w:lang w:eastAsia="zh-CN"/>
                    </w:rPr>
                    <w:t>一般公共预算财政拨款</w:t>
                  </w:r>
                  <w:r>
                    <w:rPr>
                      <w:rFonts w:hint="eastAsia" w:ascii="宋体" w:hAnsi="宋体" w:eastAsia="宋体" w:cs="宋体"/>
                    </w:rPr>
                    <w:t>“三公” 经费支出决算情况说明</w:t>
                  </w:r>
                </w:p>
                <w:p>
                  <w:pPr>
                    <w:adjustRightInd w:val="0"/>
                    <w:snapToGrid w:val="0"/>
                    <w:spacing w:after="0" w:line="560" w:lineRule="exact"/>
                    <w:ind w:firstLine="640" w:firstLineChars="200"/>
                    <w:rPr>
                      <w:rFonts w:ascii="宋体" w:hAnsi="宋体" w:cs="宋体"/>
                      <w:sz w:val="32"/>
                      <w:szCs w:val="32"/>
                    </w:rPr>
                  </w:pPr>
                  <w:r>
                    <w:rPr>
                      <w:rFonts w:hint="eastAsia" w:cs="宋体" w:asciiTheme="majorEastAsia" w:hAnsiTheme="majorEastAsia" w:eastAsiaTheme="majorEastAsia"/>
                      <w:sz w:val="32"/>
                      <w:szCs w:val="32"/>
                    </w:rPr>
                    <w:t>本部门2018年度“三公”经费支出共计0万元，较年初预算无变化。比2017年无增加变化。</w:t>
                  </w:r>
                  <w:r>
                    <w:rPr>
                      <w:rFonts w:hint="eastAsia" w:cs="仿宋" w:asciiTheme="majorEastAsia" w:hAnsiTheme="majorEastAsia" w:eastAsiaTheme="majorEastAsia"/>
                      <w:sz w:val="32"/>
                      <w:szCs w:val="32"/>
                    </w:rPr>
                    <w:t>严格执行中央、省、市、县压缩三公经费相关文件规定，厉行节俭、严格控制支出。</w:t>
                  </w:r>
                  <w:r>
                    <w:rPr>
                      <w:rFonts w:hint="eastAsia" w:cs="宋体" w:asciiTheme="majorEastAsia" w:hAnsiTheme="majorEastAsia" w:eastAsiaTheme="majorEastAsia"/>
                      <w:sz w:val="32"/>
                      <w:szCs w:val="32"/>
                    </w:rPr>
                    <w:t>具体情况如下</w:t>
                  </w:r>
                  <w:r>
                    <w:rPr>
                      <w:rFonts w:hint="eastAsia" w:ascii="宋体" w:hAnsi="宋体" w:cs="宋体"/>
                      <w:sz w:val="32"/>
                      <w:szCs w:val="32"/>
                    </w:rPr>
                    <w:t>：</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bCs/>
                      <w:sz w:val="32"/>
                      <w:szCs w:val="32"/>
                    </w:rPr>
                    <w:t>（一）因公出国（境）费支出0万元。</w:t>
                  </w:r>
                  <w:r>
                    <w:rPr>
                      <w:rFonts w:hint="eastAsia" w:ascii="宋体" w:hAnsi="宋体" w:cs="宋体"/>
                      <w:sz w:val="32"/>
                      <w:szCs w:val="32"/>
                    </w:rPr>
                    <w:t>本部门2018年度参加其他单位组织的因公出国（境）团组0个、共0人</w:t>
                  </w:r>
                  <w:r>
                    <w:rPr>
                      <w:rFonts w:hint="eastAsia" w:ascii="宋体" w:hAnsi="宋体" w:cs="宋体"/>
                      <w:sz w:val="32"/>
                      <w:szCs w:val="32"/>
                      <w:lang w:eastAsia="zh-CN"/>
                    </w:rPr>
                    <w:t>。</w:t>
                  </w:r>
                  <w:r>
                    <w:rPr>
                      <w:rFonts w:hint="eastAsia" w:ascii="宋体" w:hAnsi="宋体" w:cs="宋体"/>
                      <w:sz w:val="32"/>
                      <w:szCs w:val="32"/>
                    </w:rPr>
                    <w:t>无本单位组织的出国（境）团组。因公出国（境）费支出较年初预算增加（减少）0万元，增长（降低）0%,较2017年度决算无增减变化。</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bCs/>
                      <w:sz w:val="32"/>
                      <w:szCs w:val="32"/>
                    </w:rPr>
                    <w:t>（二）公务用车购置及运行维护费支出0万元。</w:t>
                  </w:r>
                  <w:r>
                    <w:rPr>
                      <w:rFonts w:hint="eastAsia" w:ascii="宋体" w:hAnsi="宋体" w:cs="宋体"/>
                      <w:sz w:val="32"/>
                      <w:szCs w:val="32"/>
                    </w:rPr>
                    <w:t>本部门2018年度公务用车购置及运行维护费较年初预算无增减变化。</w:t>
                  </w:r>
                </w:p>
                <w:p>
                  <w:pPr>
                    <w:adjustRightInd w:val="0"/>
                    <w:snapToGrid w:val="0"/>
                    <w:spacing w:after="0" w:line="560" w:lineRule="exact"/>
                    <w:ind w:firstLine="643" w:firstLineChars="200"/>
                    <w:rPr>
                      <w:rFonts w:ascii="宋体" w:hAnsi="宋体" w:cs="宋体"/>
                      <w:color w:val="000000" w:themeColor="text1"/>
                      <w:sz w:val="32"/>
                      <w:szCs w:val="32"/>
                    </w:rPr>
                  </w:pPr>
                  <w:r>
                    <w:rPr>
                      <w:rFonts w:hint="eastAsia" w:ascii="宋体" w:hAnsi="宋体" w:cs="宋体"/>
                      <w:b/>
                      <w:sz w:val="32"/>
                      <w:szCs w:val="32"/>
                    </w:rPr>
                    <w:t>公务用车购置费：</w:t>
                  </w:r>
                  <w:r>
                    <w:rPr>
                      <w:rFonts w:hint="eastAsia" w:ascii="宋体" w:hAnsi="宋体" w:cs="宋体"/>
                      <w:sz w:val="32"/>
                      <w:szCs w:val="32"/>
                    </w:rPr>
                    <w:t>本部门2018年度公务用车购置量0辆，发生“公务用车购置”经费支出0万元。公务用车购置费支出较年初预算增加（减少）0万元，增长（降低）0%,未发生公务用车购置经费支出，较年初预算无增减变化。较2017年度决算无增减变化。</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sz w:val="32"/>
                      <w:szCs w:val="32"/>
                    </w:rPr>
                    <w:t>公务用车运行维护费：</w:t>
                  </w:r>
                  <w:r>
                    <w:rPr>
                      <w:rFonts w:hint="eastAsia" w:ascii="宋体" w:hAnsi="宋体" w:cs="宋体"/>
                      <w:sz w:val="32"/>
                      <w:szCs w:val="32"/>
                    </w:rPr>
                    <w:t>本部门2018年度单位公务用车保有量0辆。公车运行维护费支出0元，较年初预算无增减变化。</w:t>
                  </w:r>
                </w:p>
                <w:p>
                  <w:pPr>
                    <w:widowControl/>
                    <w:jc w:val="left"/>
                    <w:rPr>
                      <w:rFonts w:ascii="楷体" w:hAnsi="楷体" w:eastAsia="楷体" w:cs="楷体"/>
                      <w:b/>
                      <w:bCs/>
                      <w:color w:val="FDEFBE"/>
                      <w:sz w:val="32"/>
                      <w:szCs w:val="32"/>
                    </w:rPr>
                  </w:pPr>
                  <w:r>
                    <w:rPr>
                      <w:rFonts w:hint="eastAsia" w:ascii="宋体" w:hAnsi="宋体" w:cs="宋体"/>
                      <w:b/>
                      <w:bCs/>
                      <w:sz w:val="32"/>
                      <w:szCs w:val="32"/>
                    </w:rPr>
                    <w:t>（三）公务接待费支出0万元。</w:t>
                  </w:r>
                  <w:r>
                    <w:rPr>
                      <w:rFonts w:hint="eastAsia" w:ascii="宋体" w:hAnsi="宋体" w:cs="宋体"/>
                      <w:sz w:val="32"/>
                      <w:szCs w:val="32"/>
                    </w:rPr>
                    <w:t>本部门2018年度公务接待</w:t>
                  </w:r>
                </w:p>
                <w:p>
                  <w:pPr>
                    <w:jc w:val="center"/>
                  </w:pPr>
                </w:p>
              </w:txbxContent>
            </v:textbox>
          </v:rect>
        </w:pict>
      </w:r>
      <w:r>
        <w:rPr>
          <w:rFonts w:hint="eastAsia" w:ascii="宋体" w:hAnsi="宋体" w:cs="宋体"/>
          <w:sz w:val="32"/>
          <w:szCs w:val="32"/>
        </w:rPr>
        <w:t>2018 年度财政拨款支出</w:t>
      </w:r>
      <w:r>
        <w:rPr>
          <w:rFonts w:hint="eastAsia" w:ascii="宋体" w:hAnsi="宋体" w:cs="宋体"/>
          <w:sz w:val="32"/>
          <w:szCs w:val="32"/>
          <w:lang w:val="en-US" w:eastAsia="zh-CN"/>
        </w:rPr>
        <w:t>261.84</w:t>
      </w:r>
      <w:r>
        <w:rPr>
          <w:rFonts w:hint="eastAsia" w:ascii="宋体" w:hAnsi="宋体" w:cs="宋体"/>
          <w:sz w:val="32"/>
          <w:szCs w:val="32"/>
        </w:rPr>
        <w:t>万元，主要用于以下方面（按本部门支出的功能分类大类进行列举）：</w:t>
      </w:r>
      <w:r>
        <w:rPr>
          <w:rFonts w:hint="eastAsia" w:ascii="宋体" w:hAnsi="宋体" w:cs="宋体"/>
          <w:sz w:val="32"/>
          <w:szCs w:val="32"/>
          <w:lang w:eastAsia="zh-CN"/>
        </w:rPr>
        <w:t>文化体育与传媒支出</w:t>
      </w:r>
      <w:r>
        <w:rPr>
          <w:rFonts w:hint="eastAsia" w:ascii="宋体" w:hAnsi="宋体" w:cs="宋体"/>
          <w:sz w:val="32"/>
          <w:szCs w:val="32"/>
          <w:lang w:val="en-US" w:eastAsia="zh-CN"/>
        </w:rPr>
        <w:t>231.95</w:t>
      </w:r>
      <w:r>
        <w:rPr>
          <w:rFonts w:hint="eastAsia" w:ascii="宋体" w:hAnsi="宋体" w:cs="宋体"/>
          <w:sz w:val="32"/>
          <w:szCs w:val="32"/>
        </w:rPr>
        <w:t>万元，占88.</w:t>
      </w:r>
      <w:r>
        <w:rPr>
          <w:rFonts w:hint="eastAsia" w:ascii="宋体" w:hAnsi="宋体" w:cs="宋体"/>
          <w:sz w:val="32"/>
          <w:szCs w:val="32"/>
          <w:lang w:val="en-US" w:eastAsia="zh-CN"/>
        </w:rPr>
        <w:t>58</w:t>
      </w:r>
      <w:r>
        <w:rPr>
          <w:rFonts w:hint="eastAsia" w:ascii="宋体" w:hAnsi="宋体" w:cs="宋体"/>
          <w:sz w:val="32"/>
          <w:szCs w:val="32"/>
        </w:rPr>
        <w:t>%；其他文化体育与传媒支出</w:t>
      </w:r>
      <w:r>
        <w:rPr>
          <w:rFonts w:hint="eastAsia" w:ascii="宋体" w:hAnsi="宋体" w:cs="宋体"/>
          <w:sz w:val="32"/>
          <w:szCs w:val="32"/>
          <w:lang w:val="en-US" w:eastAsia="zh-CN"/>
        </w:rPr>
        <w:t>29.89</w:t>
      </w:r>
      <w:r>
        <w:rPr>
          <w:rFonts w:hint="eastAsia" w:ascii="宋体" w:hAnsi="宋体" w:cs="宋体"/>
          <w:sz w:val="32"/>
          <w:szCs w:val="32"/>
        </w:rPr>
        <w:t>万元，占</w:t>
      </w:r>
      <w:r>
        <w:rPr>
          <w:rFonts w:hint="eastAsia" w:ascii="宋体" w:hAnsi="宋体" w:cs="宋体"/>
          <w:sz w:val="32"/>
          <w:szCs w:val="32"/>
          <w:lang w:val="en-US" w:eastAsia="zh-CN"/>
        </w:rPr>
        <w:t>11.42</w:t>
      </w:r>
      <w:r>
        <w:rPr>
          <w:rFonts w:hint="eastAsia" w:ascii="宋体" w:hAnsi="宋体" w:cs="宋体"/>
          <w:sz w:val="32"/>
          <w:szCs w:val="32"/>
        </w:rPr>
        <w:t>%。</w:t>
      </w:r>
    </w:p>
    <w:p>
      <w:pPr>
        <w:adjustRightInd w:val="0"/>
        <w:snapToGrid w:val="0"/>
        <w:spacing w:after="0" w:line="560" w:lineRule="exact"/>
        <w:ind w:firstLine="640" w:firstLineChars="200"/>
        <w:rPr>
          <w:rFonts w:hint="eastAsia" w:ascii="宋体" w:hAnsi="宋体" w:eastAsia="宋体" w:cs="宋体"/>
          <w:sz w:val="32"/>
          <w:szCs w:val="32"/>
          <w:lang w:eastAsia="zh-CN"/>
        </w:rPr>
      </w:pPr>
      <w:r>
        <w:rPr>
          <w:rFonts w:hint="eastAsia" w:ascii="宋体" w:hAnsi="宋体" w:eastAsia="宋体" w:cs="宋体"/>
          <w:sz w:val="32"/>
          <w:szCs w:val="32"/>
          <w:lang w:eastAsia="zh-CN"/>
        </w:rPr>
        <w:drawing>
          <wp:anchor distT="0" distB="0" distL="114300" distR="114300" simplePos="0" relativeHeight="251661312" behindDoc="1" locked="0" layoutInCell="1" allowOverlap="1">
            <wp:simplePos x="0" y="0"/>
            <wp:positionH relativeFrom="column">
              <wp:posOffset>439420</wp:posOffset>
            </wp:positionH>
            <wp:positionV relativeFrom="paragraph">
              <wp:posOffset>164465</wp:posOffset>
            </wp:positionV>
            <wp:extent cx="4632960" cy="2181225"/>
            <wp:effectExtent l="4445" t="4445" r="10795" b="5080"/>
            <wp:wrapTight wrapText="bothSides">
              <wp:wrapPolygon>
                <wp:start x="-21" y="-44"/>
                <wp:lineTo x="-21" y="21462"/>
                <wp:lineTo x="21562" y="21462"/>
                <wp:lineTo x="21562" y="-44"/>
                <wp:lineTo x="-21" y="-44"/>
              </wp:wrapPolygon>
            </wp:wrapTight>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adjustRightInd w:val="0"/>
        <w:snapToGrid w:val="0"/>
        <w:spacing w:after="0" w:line="560" w:lineRule="exact"/>
        <w:ind w:firstLine="640" w:firstLineChars="200"/>
        <w:rPr>
          <w:rFonts w:hint="eastAsia" w:ascii="宋体" w:hAnsi="宋体" w:cs="宋体"/>
          <w:sz w:val="32"/>
          <w:szCs w:val="32"/>
        </w:rPr>
      </w:pPr>
    </w:p>
    <w:p>
      <w:pPr>
        <w:adjustRightInd w:val="0"/>
        <w:snapToGrid w:val="0"/>
        <w:spacing w:after="0" w:line="560" w:lineRule="exact"/>
        <w:ind w:firstLine="640" w:firstLineChars="200"/>
        <w:rPr>
          <w:rFonts w:hint="eastAsia" w:ascii="宋体" w:hAnsi="宋体" w:cs="宋体"/>
          <w:sz w:val="32"/>
          <w:szCs w:val="32"/>
        </w:rPr>
      </w:pPr>
    </w:p>
    <w:p>
      <w:pPr>
        <w:adjustRightInd w:val="0"/>
        <w:snapToGrid w:val="0"/>
        <w:spacing w:after="0" w:line="560" w:lineRule="exact"/>
        <w:ind w:firstLine="640" w:firstLineChars="200"/>
        <w:rPr>
          <w:rFonts w:hint="eastAsia" w:ascii="宋体" w:hAnsi="宋体" w:cs="宋体"/>
          <w:sz w:val="32"/>
          <w:szCs w:val="32"/>
        </w:rPr>
      </w:pPr>
    </w:p>
    <w:p>
      <w:pPr>
        <w:adjustRightInd w:val="0"/>
        <w:snapToGrid w:val="0"/>
        <w:spacing w:after="0" w:line="560" w:lineRule="exact"/>
        <w:ind w:firstLine="640" w:firstLineChars="200"/>
        <w:rPr>
          <w:rFonts w:hint="eastAsia" w:ascii="宋体" w:hAnsi="宋体" w:cs="宋体"/>
          <w:sz w:val="32"/>
          <w:szCs w:val="32"/>
        </w:rPr>
      </w:pPr>
    </w:p>
    <w:p>
      <w:pPr>
        <w:adjustRightInd w:val="0"/>
        <w:snapToGrid w:val="0"/>
        <w:spacing w:after="0" w:line="560" w:lineRule="exact"/>
        <w:ind w:firstLine="640" w:firstLineChars="200"/>
        <w:rPr>
          <w:rFonts w:hint="eastAsia" w:ascii="宋体" w:hAnsi="宋体" w:cs="宋体"/>
          <w:sz w:val="32"/>
          <w:szCs w:val="32"/>
        </w:rPr>
      </w:pPr>
    </w:p>
    <w:p>
      <w:pPr>
        <w:adjustRightInd w:val="0"/>
        <w:snapToGrid w:val="0"/>
        <w:spacing w:after="0" w:line="580" w:lineRule="exact"/>
        <w:ind w:left="420" w:leftChars="200"/>
        <w:rPr>
          <w:rFonts w:ascii="仿宋_GB2312" w:eastAsia="仿宋_GB2312" w:cs="DengXian-Regular"/>
          <w:sz w:val="32"/>
          <w:szCs w:val="32"/>
          <w:highlight w:val="yellow"/>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60" w:lineRule="exact"/>
        <w:ind w:firstLine="640" w:firstLineChars="200"/>
        <w:rPr>
          <w:rFonts w:hint="eastAsia" w:ascii="宋体" w:hAnsi="宋体" w:eastAsia="宋体" w:cs="宋体"/>
        </w:rPr>
      </w:pPr>
      <w:r>
        <w:rPr>
          <w:rFonts w:hint="eastAsia" w:ascii="宋体" w:hAnsi="宋体" w:cs="宋体"/>
          <w:sz w:val="32"/>
          <w:szCs w:val="32"/>
        </w:rPr>
        <w:t>2018 年度一般公共预算财政拨款基本支出</w:t>
      </w:r>
      <w:r>
        <w:rPr>
          <w:rFonts w:hint="eastAsia" w:ascii="宋体" w:hAnsi="宋体" w:cs="宋体"/>
          <w:sz w:val="32"/>
          <w:szCs w:val="32"/>
          <w:lang w:val="en-US" w:eastAsia="zh-CN"/>
        </w:rPr>
        <w:t>58.9</w:t>
      </w:r>
      <w:r>
        <w:rPr>
          <w:rFonts w:hint="eastAsia" w:ascii="宋体" w:hAnsi="宋体" w:cs="宋体"/>
          <w:sz w:val="32"/>
          <w:szCs w:val="32"/>
        </w:rPr>
        <w:t xml:space="preserve">万元，其中：人员经费 </w:t>
      </w:r>
      <w:r>
        <w:rPr>
          <w:rFonts w:hint="eastAsia" w:ascii="宋体" w:hAnsi="宋体" w:cs="宋体"/>
          <w:sz w:val="32"/>
          <w:szCs w:val="32"/>
          <w:lang w:val="en-US" w:eastAsia="zh-CN"/>
        </w:rPr>
        <w:t>57.18</w:t>
      </w:r>
      <w:r>
        <w:rPr>
          <w:rFonts w:hint="eastAsia" w:ascii="宋体" w:hAnsi="宋体" w:cs="宋体"/>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宋体" w:hAnsi="宋体" w:cs="宋体"/>
          <w:sz w:val="32"/>
          <w:szCs w:val="32"/>
          <w:lang w:val="en-US" w:eastAsia="zh-CN"/>
        </w:rPr>
        <w:t>1.72</w:t>
      </w:r>
      <w:r>
        <w:rPr>
          <w:rFonts w:hint="eastAsia" w:ascii="宋体" w:hAnsi="宋体" w:cs="宋体"/>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五、</w:t>
      </w:r>
      <w:r>
        <w:rPr>
          <w:rFonts w:hint="eastAsia" w:ascii="宋体" w:hAnsi="宋体" w:eastAsia="宋体" w:cs="宋体"/>
          <w:lang w:eastAsia="zh-CN"/>
        </w:rPr>
        <w:t>一般公共预算财政拨款</w:t>
      </w:r>
      <w:r>
        <w:rPr>
          <w:rFonts w:hint="eastAsia" w:ascii="宋体" w:hAnsi="宋体" w:eastAsia="宋体" w:cs="宋体"/>
        </w:rPr>
        <w:t>“三公” 经费支出决算情况说明</w:t>
      </w:r>
    </w:p>
    <w:p>
      <w:pPr>
        <w:adjustRightInd w:val="0"/>
        <w:snapToGrid w:val="0"/>
        <w:spacing w:after="0" w:line="560" w:lineRule="exact"/>
        <w:ind w:firstLine="640" w:firstLineChars="200"/>
        <w:rPr>
          <w:rFonts w:ascii="宋体" w:hAnsi="宋体" w:cs="宋体"/>
          <w:sz w:val="32"/>
          <w:szCs w:val="32"/>
        </w:rPr>
      </w:pPr>
      <w:r>
        <w:rPr>
          <w:rFonts w:hint="eastAsia" w:cs="宋体" w:asciiTheme="majorEastAsia" w:hAnsiTheme="majorEastAsia" w:eastAsiaTheme="majorEastAsia"/>
          <w:sz w:val="32"/>
          <w:szCs w:val="32"/>
        </w:rPr>
        <w:t>本部门2018年度“三公”经费支出共计0万元，较年初预算无变化。比2017年无增加变化。</w:t>
      </w:r>
      <w:r>
        <w:rPr>
          <w:rFonts w:hint="eastAsia" w:cs="仿宋" w:asciiTheme="majorEastAsia" w:hAnsiTheme="majorEastAsia" w:eastAsiaTheme="majorEastAsia"/>
          <w:sz w:val="32"/>
          <w:szCs w:val="32"/>
        </w:rPr>
        <w:t>严格执行中央、省、市、县压缩三公经费相关文件规定，厉行节俭、严格控制支出。</w:t>
      </w:r>
      <w:r>
        <w:rPr>
          <w:rFonts w:hint="eastAsia" w:cs="宋体" w:asciiTheme="majorEastAsia" w:hAnsiTheme="majorEastAsia" w:eastAsiaTheme="majorEastAsia"/>
          <w:sz w:val="32"/>
          <w:szCs w:val="32"/>
        </w:rPr>
        <w:t>具体情况如下</w:t>
      </w:r>
      <w:r>
        <w:rPr>
          <w:rFonts w:hint="eastAsia" w:ascii="宋体" w:hAnsi="宋体" w:cs="宋体"/>
          <w:sz w:val="32"/>
          <w:szCs w:val="32"/>
        </w:rPr>
        <w:t>：</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bCs/>
          <w:sz w:val="32"/>
          <w:szCs w:val="32"/>
        </w:rPr>
        <w:t>（一）因公出国（境）费支出0万元。</w:t>
      </w:r>
      <w:r>
        <w:rPr>
          <w:rFonts w:hint="eastAsia" w:ascii="宋体" w:hAnsi="宋体" w:cs="宋体"/>
          <w:sz w:val="32"/>
          <w:szCs w:val="32"/>
        </w:rPr>
        <w:t>本部门2018年度参加其他单位组织的因公出国（境）团组0个、共0人</w:t>
      </w:r>
      <w:r>
        <w:rPr>
          <w:rFonts w:hint="eastAsia" w:ascii="宋体" w:hAnsi="宋体" w:cs="宋体"/>
          <w:sz w:val="32"/>
          <w:szCs w:val="32"/>
          <w:lang w:eastAsia="zh-CN"/>
        </w:rPr>
        <w:t>。</w:t>
      </w:r>
      <w:r>
        <w:rPr>
          <w:rFonts w:hint="eastAsia" w:ascii="宋体" w:hAnsi="宋体" w:cs="宋体"/>
          <w:sz w:val="32"/>
          <w:szCs w:val="32"/>
        </w:rPr>
        <w:t>无本单位组织的出国（境）团组。因公出国（境）费支出较年初预算增加（减少）0万元，增长（降低）0%,较2017年度决算无增减变化。</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bCs/>
          <w:sz w:val="32"/>
          <w:szCs w:val="32"/>
        </w:rPr>
        <w:t>（二）公务用车购置及运行维护费支出0万元。</w:t>
      </w:r>
      <w:r>
        <w:rPr>
          <w:rFonts w:hint="eastAsia" w:ascii="宋体" w:hAnsi="宋体" w:cs="宋体"/>
          <w:sz w:val="32"/>
          <w:szCs w:val="32"/>
        </w:rPr>
        <w:t>本部门2018年度公务用车购置及运行维护费较年初预算无增减变化。</w:t>
      </w:r>
    </w:p>
    <w:p>
      <w:pPr>
        <w:adjustRightInd w:val="0"/>
        <w:snapToGrid w:val="0"/>
        <w:spacing w:after="0" w:line="560" w:lineRule="exact"/>
        <w:ind w:firstLine="643" w:firstLineChars="200"/>
        <w:rPr>
          <w:rFonts w:ascii="宋体" w:hAnsi="宋体" w:cs="宋体"/>
          <w:color w:val="000000" w:themeColor="text1"/>
          <w:sz w:val="32"/>
          <w:szCs w:val="32"/>
        </w:rPr>
      </w:pPr>
      <w:r>
        <w:rPr>
          <w:rFonts w:hint="eastAsia" w:ascii="宋体" w:hAnsi="宋体" w:cs="宋体"/>
          <w:b/>
          <w:sz w:val="32"/>
          <w:szCs w:val="32"/>
        </w:rPr>
        <w:t>公务用车购置费：</w:t>
      </w:r>
      <w:r>
        <w:rPr>
          <w:rFonts w:hint="eastAsia" w:ascii="宋体" w:hAnsi="宋体" w:cs="宋体"/>
          <w:sz w:val="32"/>
          <w:szCs w:val="32"/>
        </w:rPr>
        <w:t>本部门2018年度公务用车购置量0辆，发生“公务用车购置”经费支出0万元。公务用车购置费支出较年初预算增加（减少）0万元，增长（降低）0%,未发生公务用车购置经费支出，较年初预算无增减变化。较2017年度决算无增减变化。</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sz w:val="32"/>
          <w:szCs w:val="32"/>
        </w:rPr>
        <w:t>公务用车运行维护费：</w:t>
      </w:r>
      <w:r>
        <w:rPr>
          <w:rFonts w:hint="eastAsia" w:ascii="宋体" w:hAnsi="宋体" w:cs="宋体"/>
          <w:sz w:val="32"/>
          <w:szCs w:val="32"/>
        </w:rPr>
        <w:t>本部门2018年度单位公务用车保有量0辆。公车运行维护费支出0元，较年初预算无增减变化。</w:t>
      </w:r>
    </w:p>
    <w:p>
      <w:pPr>
        <w:adjustRightInd w:val="0"/>
        <w:snapToGrid w:val="0"/>
        <w:spacing w:after="0" w:line="560" w:lineRule="exact"/>
        <w:ind w:firstLine="643" w:firstLineChars="200"/>
        <w:rPr>
          <w:rFonts w:ascii="宋体" w:hAnsi="宋体" w:cs="宋体"/>
          <w:sz w:val="32"/>
          <w:szCs w:val="32"/>
        </w:rPr>
      </w:pPr>
      <w:r>
        <w:rPr>
          <w:rFonts w:hint="eastAsia" w:ascii="宋体" w:hAnsi="宋体" w:cs="宋体"/>
          <w:b/>
          <w:bCs/>
          <w:sz w:val="32"/>
          <w:szCs w:val="32"/>
        </w:rPr>
        <w:t>（三）公务接待费支出0万元。</w:t>
      </w:r>
      <w:r>
        <w:rPr>
          <w:rFonts w:hint="eastAsia" w:ascii="宋体" w:hAnsi="宋体" w:cs="宋体"/>
          <w:sz w:val="32"/>
          <w:szCs w:val="32"/>
        </w:rPr>
        <w:t>本部门2018年度公务接待0万元。本部门2018年度“三公”经费支出共计0万元，较年初预算无增减变化，比2017年无增减变化。</w:t>
      </w:r>
    </w:p>
    <w:p>
      <w:pPr>
        <w:pStyle w:val="3"/>
        <w:spacing w:before="0" w:after="0" w:line="560" w:lineRule="exact"/>
        <w:ind w:firstLine="643" w:firstLineChars="200"/>
        <w:rPr>
          <w:rFonts w:cs="宋体" w:asciiTheme="majorEastAsia" w:hAnsiTheme="majorEastAsia"/>
        </w:rPr>
      </w:pPr>
      <w:r>
        <w:rPr>
          <w:rFonts w:hint="eastAsia" w:cs="宋体" w:asciiTheme="majorEastAsia" w:hAnsiTheme="majorEastAsia"/>
        </w:rPr>
        <w:t>六、绩效预算</w:t>
      </w:r>
      <w:r>
        <w:rPr>
          <w:rFonts w:hint="eastAsia" w:cs="宋体" w:asciiTheme="majorEastAsia" w:hAnsiTheme="majorEastAsia"/>
          <w:kern w:val="0"/>
        </w:rPr>
        <w:t>管理</w:t>
      </w:r>
      <w:r>
        <w:rPr>
          <w:rFonts w:hint="eastAsia" w:cs="宋体" w:asciiTheme="majorEastAsia" w:hAnsiTheme="majorEastAsia"/>
        </w:rPr>
        <w:t>工作开展情况说明</w:t>
      </w:r>
    </w:p>
    <w:p>
      <w:pPr>
        <w:spacing w:after="0"/>
        <w:rPr>
          <w:rFonts w:cs="新宋体" w:asciiTheme="majorEastAsia" w:hAnsiTheme="majorEastAsia" w:eastAsiaTheme="majorEastAsia"/>
          <w:sz w:val="32"/>
          <w:szCs w:val="32"/>
        </w:rPr>
      </w:pPr>
      <w:r>
        <w:rPr>
          <w:rFonts w:hint="eastAsia" w:cs="新宋体" w:asciiTheme="majorEastAsia" w:hAnsiTheme="majorEastAsia" w:eastAsiaTheme="majorEastAsia"/>
          <w:sz w:val="32"/>
          <w:szCs w:val="32"/>
        </w:rPr>
        <w:t>（一）绩效管理工作开展情况</w:t>
      </w:r>
    </w:p>
    <w:p>
      <w:pPr>
        <w:spacing w:after="0"/>
        <w:ind w:firstLine="640" w:firstLineChars="200"/>
        <w:rPr>
          <w:rFonts w:cs="新宋体" w:asciiTheme="majorEastAsia" w:hAnsiTheme="majorEastAsia" w:eastAsiaTheme="majorEastAsia"/>
          <w:sz w:val="32"/>
          <w:szCs w:val="32"/>
        </w:rPr>
      </w:pPr>
      <w:r>
        <w:rPr>
          <w:rFonts w:hint="eastAsia" w:cs="新宋体" w:asciiTheme="majorEastAsia" w:hAnsiTheme="majorEastAsia" w:eastAsiaTheme="majorEastAsia"/>
          <w:sz w:val="32"/>
          <w:szCs w:val="32"/>
        </w:rPr>
        <w:t>按照《石家庄市财政局关于印发〈石家庄市市级财政支出</w:t>
      </w:r>
    </w:p>
    <w:p>
      <w:pPr>
        <w:adjustRightInd w:val="0"/>
        <w:snapToGrid w:val="0"/>
        <w:spacing w:after="0" w:line="500" w:lineRule="exact"/>
        <w:rPr>
          <w:rFonts w:cs="DengXian-Regular" w:asciiTheme="majorEastAsia" w:hAnsiTheme="majorEastAsia" w:eastAsiaTheme="majorEastAsia"/>
          <w:sz w:val="32"/>
          <w:szCs w:val="32"/>
        </w:rPr>
      </w:pPr>
      <w:r>
        <w:rPr>
          <w:rFonts w:hint="eastAsia" w:cs="新宋体" w:asciiTheme="majorEastAsia" w:hAnsiTheme="majorEastAsia" w:eastAsiaTheme="majorEastAsia"/>
          <w:sz w:val="32"/>
          <w:szCs w:val="32"/>
        </w:rPr>
        <w:t>政策绩效评价工作规范〉的通知》（石财绩〔2016〕3 号)，</w:t>
      </w:r>
      <w:r>
        <w:rPr>
          <w:rFonts w:hint="eastAsia" w:cs="DengXian-Regular" w:asciiTheme="majorEastAsia" w:hAnsiTheme="majorEastAsia" w:eastAsiaTheme="majorEastAsia"/>
          <w:sz w:val="32"/>
          <w:szCs w:val="32"/>
        </w:rPr>
        <w:t>根据《关于开展2018年度财政专项资金部门绩效自评价工作的通知》（石财绩</w:t>
      </w:r>
      <w:r>
        <w:rPr>
          <w:rFonts w:hint="eastAsia" w:cs="宋体" w:asciiTheme="majorEastAsia" w:hAnsiTheme="majorEastAsia" w:eastAsiaTheme="majorEastAsia"/>
          <w:sz w:val="32"/>
          <w:szCs w:val="32"/>
        </w:rPr>
        <w:t>[2019]</w:t>
      </w:r>
      <w:r>
        <w:rPr>
          <w:rFonts w:hint="eastAsia" w:cs="DengXian-Regular" w:asciiTheme="majorEastAsia" w:hAnsiTheme="majorEastAsia" w:eastAsiaTheme="majorEastAsia"/>
          <w:sz w:val="32"/>
          <w:szCs w:val="32"/>
        </w:rPr>
        <w:t>1号），本单位认真开展了预算绩效管理改革开展情况自查，对部门全面规范绩效预算编制、严格预算执行管理、推进绩效评价工作、推进预决算信息公开等方面进行了自评，考核结果为优秀。</w:t>
      </w:r>
    </w:p>
    <w:p>
      <w:pPr>
        <w:spacing w:after="0"/>
        <w:rPr>
          <w:rFonts w:cs="新宋体" w:asciiTheme="majorEastAsia" w:hAnsiTheme="majorEastAsia" w:eastAsiaTheme="majorEastAsia"/>
          <w:sz w:val="32"/>
          <w:szCs w:val="32"/>
        </w:rPr>
      </w:pPr>
      <w:r>
        <w:rPr>
          <w:rFonts w:hint="eastAsia" w:cs="新宋体" w:asciiTheme="majorEastAsia" w:hAnsiTheme="majorEastAsia" w:eastAsiaTheme="majorEastAsia"/>
          <w:sz w:val="32"/>
          <w:szCs w:val="32"/>
        </w:rPr>
        <w:t>2</w:t>
      </w:r>
    </w:p>
    <w:p>
      <w:pPr>
        <w:spacing w:after="0"/>
        <w:rPr>
          <w:rFonts w:ascii="新宋体" w:hAnsi="新宋体" w:eastAsia="新宋体" w:cs="新宋体"/>
          <w:sz w:val="32"/>
          <w:szCs w:val="32"/>
        </w:rPr>
      </w:pPr>
      <w:r>
        <w:rPr>
          <w:rFonts w:hint="eastAsia" w:ascii="新宋体" w:hAnsi="新宋体" w:eastAsia="新宋体" w:cs="新宋体"/>
          <w:sz w:val="32"/>
          <w:szCs w:val="32"/>
        </w:rPr>
        <w:t>年，我台重新修订了部门的职责活动及绩效评价指标，按照绩</w:t>
      </w:r>
    </w:p>
    <w:p>
      <w:pPr>
        <w:spacing w:after="0"/>
        <w:rPr>
          <w:rFonts w:ascii="新宋体" w:hAnsi="新宋体" w:eastAsia="新宋体" w:cs="新宋体"/>
          <w:sz w:val="32"/>
          <w:szCs w:val="32"/>
        </w:rPr>
      </w:pPr>
      <w:r>
        <w:rPr>
          <w:rFonts w:hint="eastAsia" w:ascii="新宋体" w:hAnsi="新宋体" w:eastAsia="新宋体" w:cs="新宋体"/>
          <w:sz w:val="32"/>
          <w:szCs w:val="32"/>
        </w:rPr>
        <w:t>效预算评价标准，对工作事项进行评价，绩效目标达到了年初</w:t>
      </w:r>
    </w:p>
    <w:p>
      <w:pPr>
        <w:spacing w:after="0"/>
        <w:rPr>
          <w:rFonts w:ascii="新宋体" w:hAnsi="新宋体" w:eastAsia="新宋体" w:cs="新宋体"/>
          <w:sz w:val="32"/>
          <w:szCs w:val="32"/>
        </w:rPr>
      </w:pPr>
      <w:r>
        <w:rPr>
          <w:rFonts w:hint="eastAsia" w:ascii="新宋体" w:hAnsi="新宋体" w:eastAsia="新宋体" w:cs="新宋体"/>
          <w:sz w:val="32"/>
          <w:szCs w:val="32"/>
        </w:rPr>
        <w:t>预算绩效目标要求。</w:t>
      </w:r>
    </w:p>
    <w:p>
      <w:pPr>
        <w:spacing w:after="0"/>
        <w:rPr>
          <w:rFonts w:ascii="新宋体" w:hAnsi="新宋体" w:eastAsia="新宋体" w:cs="新宋体"/>
          <w:sz w:val="30"/>
          <w:szCs w:val="30"/>
        </w:rPr>
      </w:pPr>
      <w:r>
        <w:rPr>
          <w:rFonts w:hint="eastAsia" w:ascii="新宋体" w:hAnsi="新宋体" w:eastAsia="新宋体" w:cs="新宋体"/>
          <w:sz w:val="30"/>
          <w:szCs w:val="30"/>
        </w:rPr>
        <w:t>（二）预算项目绩效评价开展情况</w:t>
      </w:r>
    </w:p>
    <w:p>
      <w:pPr>
        <w:spacing w:after="0"/>
        <w:ind w:firstLine="600"/>
        <w:rPr>
          <w:rFonts w:ascii="新宋体" w:hAnsi="新宋体" w:eastAsia="新宋体" w:cs="新宋体"/>
          <w:sz w:val="30"/>
          <w:szCs w:val="30"/>
        </w:rPr>
      </w:pPr>
      <w:r>
        <w:rPr>
          <w:rFonts w:hint="eastAsia" w:ascii="新宋体" w:hAnsi="新宋体" w:eastAsia="新宋体" w:cs="新宋体"/>
          <w:sz w:val="30"/>
          <w:szCs w:val="30"/>
        </w:rPr>
        <w:t>根据预算绩效管理要求，本单位对2018年度一般公共预算项目支出全面开展绩效评价。涉及2018年春节联欢晚会、《今鄗新闻》报刊发行、全媒体中心项目、电视台人员经费、公用经费等13个项目，共计209.65万元。从评价情况来看，评级结果为优秀。</w:t>
      </w:r>
    </w:p>
    <w:p>
      <w:pPr>
        <w:spacing w:after="0"/>
        <w:rPr>
          <w:rFonts w:ascii="新宋体" w:hAnsi="新宋体" w:eastAsia="新宋体" w:cs="新宋体"/>
          <w:sz w:val="30"/>
          <w:szCs w:val="30"/>
        </w:rPr>
      </w:pPr>
      <w:r>
        <w:rPr>
          <w:rFonts w:hint="eastAsia" w:ascii="新宋体" w:hAnsi="新宋体" w:eastAsia="新宋体" w:cs="新宋体"/>
          <w:sz w:val="30"/>
          <w:szCs w:val="30"/>
        </w:rPr>
        <w:t>（三）预算项目绩效自评选例</w:t>
      </w:r>
    </w:p>
    <w:p>
      <w:pPr>
        <w:spacing w:after="0"/>
        <w:rPr>
          <w:rFonts w:ascii="新宋体" w:hAnsi="新宋体" w:eastAsia="新宋体" w:cs="新宋体"/>
          <w:sz w:val="30"/>
          <w:szCs w:val="30"/>
        </w:rPr>
      </w:pPr>
      <w:r>
        <w:rPr>
          <w:rFonts w:hint="eastAsia" w:ascii="新宋体" w:hAnsi="新宋体" w:eastAsia="新宋体" w:cs="新宋体"/>
          <w:sz w:val="30"/>
          <w:szCs w:val="30"/>
        </w:rPr>
        <w:t xml:space="preserve">     本单位全媒体中心项目绩效评价：根据年初设定的绩效目标，全媒体中心项目绩效评价结果为优秀，项目预算数为30万元，执行数为298850元，完成预算数100%。主要产出和效果是整合新闻频道，推动新闻生产模型转型升级，建设微信公众号、《鄗闻天下》《掌上高邑》APP三大项目。加快与新兴媒体融合发展步伐，培育壮大广播、电视和新兴媒体三大集群，巩固提升主流媒体传播力、公信力和影响力。</w:t>
      </w:r>
    </w:p>
    <w:p>
      <w:pPr>
        <w:pStyle w:val="3"/>
        <w:spacing w:before="0" w:after="0" w:line="560" w:lineRule="exact"/>
        <w:ind w:firstLine="643" w:firstLineChars="200"/>
        <w:rPr>
          <w:rFonts w:ascii="宋体" w:hAnsi="宋体" w:eastAsia="宋体" w:cs="宋体"/>
        </w:rPr>
      </w:pPr>
      <w:r>
        <w:rPr>
          <w:rFonts w:hint="eastAsia" w:ascii="宋体" w:hAnsi="宋体" w:eastAsia="宋体" w:cs="宋体"/>
        </w:rPr>
        <w:t>七、其他重要事项的说明</w:t>
      </w:r>
    </w:p>
    <w:p>
      <w:pPr>
        <w:pStyle w:val="4"/>
        <w:spacing w:before="0" w:after="0" w:line="560" w:lineRule="exact"/>
        <w:ind w:firstLine="643" w:firstLineChars="200"/>
        <w:rPr>
          <w:rFonts w:ascii="宋体" w:hAnsi="宋体" w:cs="宋体"/>
        </w:rPr>
      </w:pPr>
      <w:r>
        <w:rPr>
          <w:rFonts w:hint="eastAsia" w:ascii="宋体" w:hAnsi="宋体" w:cs="宋体"/>
        </w:rPr>
        <w:t>（一）机关运行经费情况</w:t>
      </w:r>
    </w:p>
    <w:p>
      <w:pPr>
        <w:adjustRightInd w:val="0"/>
        <w:snapToGrid w:val="0"/>
        <w:spacing w:after="0" w:line="560" w:lineRule="exact"/>
        <w:ind w:firstLine="640" w:firstLineChars="200"/>
        <w:rPr>
          <w:rFonts w:ascii="宋体" w:hAnsi="宋体" w:cs="宋体"/>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万元，比年初预算数增加(减少)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无此类支出。</w:t>
      </w:r>
    </w:p>
    <w:p>
      <w:pPr>
        <w:pStyle w:val="4"/>
        <w:spacing w:before="0" w:after="0" w:line="560" w:lineRule="exact"/>
        <w:ind w:firstLine="643" w:firstLineChars="200"/>
        <w:rPr>
          <w:rFonts w:ascii="宋体" w:hAnsi="宋体" w:cs="宋体"/>
          <w:color w:val="auto"/>
        </w:rPr>
      </w:pPr>
      <w:r>
        <w:rPr>
          <w:rFonts w:hint="eastAsia" w:ascii="宋体" w:hAnsi="宋体" w:cs="宋体"/>
          <w:color w:val="auto"/>
        </w:rPr>
        <w:t>（二）政府采购情况</w:t>
      </w:r>
    </w:p>
    <w:p>
      <w:pPr>
        <w:pStyle w:val="10"/>
        <w:ind w:firstLine="600" w:firstLineChars="200"/>
        <w:rPr>
          <w:rFonts w:hint="eastAsia" w:ascii="宋体" w:hAnsi="宋体" w:eastAsia="宋体" w:cs="宋体"/>
          <w:color w:val="auto"/>
          <w:sz w:val="30"/>
          <w:szCs w:val="30"/>
        </w:rPr>
      </w:pPr>
      <w:r>
        <w:rPr>
          <w:rFonts w:hint="eastAsia" w:ascii="宋体" w:hAnsi="宋体" w:eastAsia="宋体" w:cs="宋体"/>
          <w:color w:val="333333"/>
          <w:sz w:val="30"/>
          <w:szCs w:val="30"/>
        </w:rPr>
        <w:t>本部门201</w:t>
      </w:r>
      <w:r>
        <w:rPr>
          <w:rFonts w:hint="eastAsia" w:ascii="宋体" w:hAnsi="宋体" w:cs="宋体"/>
          <w:color w:val="333333"/>
          <w:sz w:val="30"/>
          <w:szCs w:val="30"/>
          <w:lang w:val="en-US" w:eastAsia="zh-CN"/>
        </w:rPr>
        <w:t>8</w:t>
      </w:r>
      <w:r>
        <w:rPr>
          <w:rFonts w:hint="eastAsia" w:ascii="宋体" w:hAnsi="宋体" w:eastAsia="宋体" w:cs="宋体"/>
          <w:color w:val="333333"/>
          <w:sz w:val="30"/>
          <w:szCs w:val="30"/>
        </w:rPr>
        <w:t>年度政府采购支出总额</w:t>
      </w:r>
      <w:r>
        <w:rPr>
          <w:rFonts w:hint="eastAsia" w:ascii="宋体" w:hAnsi="宋体" w:cs="宋体"/>
          <w:color w:val="333333"/>
          <w:sz w:val="30"/>
          <w:szCs w:val="30"/>
          <w:lang w:val="en-US" w:eastAsia="zh-CN"/>
        </w:rPr>
        <w:t>30</w:t>
      </w:r>
      <w:r>
        <w:rPr>
          <w:rFonts w:hint="eastAsia" w:ascii="宋体" w:hAnsi="宋体" w:eastAsia="宋体" w:cs="宋体"/>
          <w:color w:val="333333"/>
          <w:sz w:val="30"/>
          <w:szCs w:val="30"/>
        </w:rPr>
        <w:t>万元，</w:t>
      </w:r>
      <w:r>
        <w:rPr>
          <w:rFonts w:hint="eastAsia" w:ascii="宋体" w:hAnsi="宋体" w:cs="宋体"/>
          <w:color w:val="auto"/>
          <w:sz w:val="32"/>
          <w:szCs w:val="32"/>
        </w:rPr>
        <w:t>实际采购金额29.89万元。从采购类型来看，</w:t>
      </w:r>
      <w:r>
        <w:rPr>
          <w:rFonts w:hint="eastAsia" w:ascii="宋体" w:hAnsi="宋体" w:eastAsia="宋体" w:cs="宋体"/>
          <w:color w:val="auto"/>
          <w:sz w:val="30"/>
          <w:szCs w:val="30"/>
        </w:rPr>
        <w:t>政府采购货物支</w:t>
      </w:r>
      <w:r>
        <w:rPr>
          <w:rFonts w:hint="eastAsia" w:ascii="宋体" w:hAnsi="宋体" w:eastAsia="宋体" w:cs="宋体"/>
          <w:color w:val="333333"/>
          <w:sz w:val="30"/>
          <w:szCs w:val="30"/>
        </w:rPr>
        <w:t>出</w:t>
      </w:r>
      <w:r>
        <w:rPr>
          <w:rFonts w:hint="eastAsia" w:ascii="宋体" w:hAnsi="宋体" w:cs="宋体"/>
          <w:color w:val="333333"/>
          <w:sz w:val="30"/>
          <w:szCs w:val="30"/>
          <w:lang w:val="en-US" w:eastAsia="zh-CN"/>
        </w:rPr>
        <w:t>29.89</w:t>
      </w:r>
      <w:r>
        <w:rPr>
          <w:rFonts w:hint="eastAsia" w:ascii="宋体" w:hAnsi="宋体" w:eastAsia="宋体" w:cs="宋体"/>
          <w:color w:val="333333"/>
          <w:sz w:val="30"/>
          <w:szCs w:val="30"/>
        </w:rPr>
        <w:t>万元</w:t>
      </w:r>
      <w:r>
        <w:rPr>
          <w:rFonts w:hint="eastAsia" w:ascii="宋体" w:hAnsi="宋体" w:cs="宋体"/>
          <w:color w:val="333333"/>
          <w:sz w:val="30"/>
          <w:szCs w:val="30"/>
          <w:lang w:eastAsia="zh-CN"/>
        </w:rPr>
        <w:t>、</w:t>
      </w:r>
      <w:r>
        <w:rPr>
          <w:rFonts w:hint="eastAsia" w:ascii="宋体" w:hAnsi="宋体" w:eastAsia="宋体" w:cs="宋体"/>
          <w:color w:val="333333"/>
          <w:sz w:val="30"/>
          <w:szCs w:val="30"/>
        </w:rPr>
        <w:t>政府采购工程支出0万元、政府采购服务支出0万元。授予中小企业合同金0万元，占政府采购支出总额的0%，其中授予小微企业合同</w:t>
      </w:r>
      <w:r>
        <w:rPr>
          <w:rFonts w:hint="eastAsia" w:ascii="宋体" w:hAnsi="宋体" w:eastAsia="宋体" w:cs="宋体"/>
          <w:color w:val="auto"/>
          <w:sz w:val="30"/>
          <w:szCs w:val="30"/>
        </w:rPr>
        <w:t>金额0万元，占政府采购支出总额的 0%。</w:t>
      </w:r>
    </w:p>
    <w:p>
      <w:pPr>
        <w:pStyle w:val="4"/>
        <w:spacing w:before="0" w:after="0" w:line="560" w:lineRule="exact"/>
        <w:ind w:firstLine="643" w:firstLineChars="200"/>
        <w:rPr>
          <w:rFonts w:ascii="宋体" w:hAnsi="宋体" w:cs="宋体"/>
          <w:color w:val="auto"/>
        </w:rPr>
      </w:pPr>
      <w:r>
        <w:rPr>
          <w:rFonts w:hint="eastAsia" w:ascii="宋体" w:hAnsi="宋体" w:cs="宋体"/>
          <w:color w:val="auto"/>
        </w:rPr>
        <w:t>（三）国有资产占用情况</w:t>
      </w:r>
    </w:p>
    <w:p>
      <w:pPr>
        <w:pStyle w:val="10"/>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截至201</w:t>
      </w:r>
      <w:r>
        <w:rPr>
          <w:rFonts w:hint="eastAsia" w:ascii="宋体" w:hAnsi="宋体" w:cs="宋体"/>
          <w:color w:val="333333"/>
          <w:sz w:val="30"/>
          <w:szCs w:val="30"/>
          <w:lang w:val="en-US" w:eastAsia="zh-CN"/>
        </w:rPr>
        <w:t>8</w:t>
      </w:r>
      <w:r>
        <w:rPr>
          <w:rFonts w:hint="eastAsia" w:ascii="宋体" w:hAnsi="宋体" w:eastAsia="宋体" w:cs="宋体"/>
          <w:color w:val="333333"/>
          <w:sz w:val="30"/>
          <w:szCs w:val="30"/>
        </w:rPr>
        <w:t>年12月31日，本部门共有车辆</w:t>
      </w:r>
      <w:r>
        <w:rPr>
          <w:rFonts w:hint="eastAsia" w:ascii="宋体" w:hAnsi="宋体" w:cs="宋体"/>
          <w:color w:val="333333"/>
          <w:sz w:val="30"/>
          <w:szCs w:val="30"/>
          <w:lang w:val="en-US" w:eastAsia="zh-CN"/>
        </w:rPr>
        <w:t>0</w:t>
      </w:r>
      <w:r>
        <w:rPr>
          <w:rFonts w:hint="eastAsia" w:ascii="宋体" w:hAnsi="宋体" w:eastAsia="宋体" w:cs="宋体"/>
          <w:color w:val="333333"/>
          <w:sz w:val="30"/>
          <w:szCs w:val="30"/>
        </w:rPr>
        <w:t>辆，比上年增加</w:t>
      </w:r>
      <w:r>
        <w:rPr>
          <w:rFonts w:hint="eastAsia" w:ascii="宋体" w:hAnsi="宋体" w:cs="宋体"/>
          <w:color w:val="333333"/>
          <w:sz w:val="30"/>
          <w:szCs w:val="30"/>
          <w:lang w:val="en-US" w:eastAsia="zh-CN"/>
        </w:rPr>
        <w:t>0</w:t>
      </w:r>
      <w:r>
        <w:rPr>
          <w:rFonts w:hint="eastAsia" w:ascii="宋体" w:hAnsi="宋体" w:eastAsia="宋体" w:cs="宋体"/>
          <w:color w:val="333333"/>
          <w:sz w:val="30"/>
          <w:szCs w:val="30"/>
        </w:rPr>
        <w:t>辆。其中，副部（省）级及以上领导用车0辆，主要领导干部用车0辆，机要通信用车0辆，应急保障用车0辆，执法执勤用车0辆，特种专业技术用车0辆，离退休干部用车0辆，其他用车</w:t>
      </w:r>
      <w:r>
        <w:rPr>
          <w:rFonts w:hint="eastAsia" w:ascii="宋体" w:hAnsi="宋体" w:cs="宋体"/>
          <w:color w:val="333333"/>
          <w:sz w:val="30"/>
          <w:szCs w:val="30"/>
          <w:lang w:val="en-US" w:eastAsia="zh-CN"/>
        </w:rPr>
        <w:t>0</w:t>
      </w:r>
      <w:r>
        <w:rPr>
          <w:rFonts w:hint="eastAsia" w:ascii="宋体" w:hAnsi="宋体" w:eastAsia="宋体" w:cs="宋体"/>
          <w:color w:val="333333"/>
          <w:sz w:val="30"/>
          <w:szCs w:val="30"/>
        </w:rPr>
        <w:t>辆，其他用车主要是无其他用车；</w:t>
      </w:r>
    </w:p>
    <w:p>
      <w:pPr>
        <w:pStyle w:val="10"/>
        <w:ind w:firstLine="600" w:firstLineChars="200"/>
        <w:rPr>
          <w:rFonts w:hint="eastAsia" w:ascii="宋体" w:hAnsi="宋体" w:eastAsia="宋体" w:cs="宋体"/>
          <w:color w:val="333333"/>
          <w:sz w:val="30"/>
          <w:szCs w:val="30"/>
        </w:rPr>
      </w:pPr>
      <w:r>
        <w:rPr>
          <w:rFonts w:hint="eastAsia" w:ascii="宋体" w:hAnsi="宋体" w:eastAsia="宋体" w:cs="宋体"/>
          <w:color w:val="333333"/>
          <w:sz w:val="30"/>
          <w:szCs w:val="30"/>
        </w:rPr>
        <w:t>单位价值50万元以上通用设备0台（套），比上年增加（减少）0套，主要是与上年持平 ，单位价值100万元以上专用设备0台（套）比上年增加（减少）0套，主要是与上年持平。</w:t>
      </w:r>
    </w:p>
    <w:p>
      <w:pPr>
        <w:pStyle w:val="4"/>
        <w:spacing w:before="0" w:after="0" w:line="560" w:lineRule="exact"/>
        <w:ind w:firstLine="643" w:firstLineChars="200"/>
        <w:rPr>
          <w:rFonts w:ascii="宋体" w:hAnsi="宋体" w:cs="宋体"/>
        </w:rPr>
      </w:pPr>
      <w:r>
        <w:rPr>
          <w:rFonts w:hint="eastAsia" w:ascii="宋体" w:hAnsi="宋体" w:cs="宋体"/>
        </w:rPr>
        <w:t>（四）其他需要说明的情况</w:t>
      </w:r>
    </w:p>
    <w:p>
      <w:pPr>
        <w:widowControl/>
        <w:spacing w:line="580" w:lineRule="exact"/>
        <w:ind w:left="640" w:firstLine="640" w:firstLineChars="200"/>
        <w:rPr>
          <w:rFonts w:ascii="宋体" w:hAnsi="宋体" w:cs="宋体"/>
          <w:sz w:val="32"/>
          <w:szCs w:val="32"/>
        </w:rPr>
      </w:pPr>
      <w:r>
        <w:rPr>
          <w:rFonts w:hint="eastAsia" w:ascii="宋体" w:hAnsi="宋体" w:cs="宋体"/>
          <w:sz w:val="32"/>
          <w:szCs w:val="32"/>
        </w:rPr>
        <w:t>1、本部门2018年度政府性基金预算财政拨款收入支出、国有资本经营预算财政拨款收入支出无收支及结转结余情况，故以空表列示。</w:t>
      </w:r>
    </w:p>
    <w:p>
      <w:pPr>
        <w:adjustRightInd w:val="0"/>
        <w:snapToGrid w:val="0"/>
        <w:spacing w:after="0" w:line="560" w:lineRule="exact"/>
        <w:ind w:firstLine="640" w:firstLineChars="200"/>
        <w:rPr>
          <w:rFonts w:ascii="宋体" w:hAnsi="宋体" w:cs="宋体"/>
          <w:sz w:val="32"/>
          <w:szCs w:val="32"/>
        </w:rPr>
      </w:pPr>
      <w:r>
        <w:rPr>
          <w:rFonts w:hint="eastAsia" w:ascii="宋体" w:hAnsi="宋体" w:cs="宋体"/>
          <w:sz w:val="32"/>
          <w:szCs w:val="32"/>
        </w:rPr>
        <w:t>2、由于决算公开表格中金额数值应当保留两位小数，公开数据为四舍五入计算结果，个别数据合计项与分项之和存在小数点后差额，特此说明。</w:t>
      </w:r>
      <w:bookmarkStart w:id="0" w:name="_GoBack"/>
      <w:bookmarkEnd w:id="0"/>
    </w:p>
    <w:p>
      <w:pPr>
        <w:pStyle w:val="2"/>
        <w:jc w:val="center"/>
        <w:rPr>
          <w:rFonts w:hint="eastAsia" w:ascii="宋体" w:hAnsi="宋体" w:cs="宋体"/>
        </w:rPr>
      </w:pPr>
    </w:p>
    <w:p>
      <w:pPr>
        <w:pStyle w:val="2"/>
        <w:jc w:val="center"/>
        <w:rPr>
          <w:rFonts w:hint="eastAsia" w:ascii="宋体" w:hAnsi="宋体" w:cs="宋体"/>
        </w:rPr>
      </w:pPr>
    </w:p>
    <w:p>
      <w:pPr>
        <w:widowControl w:val="0"/>
        <w:numPr>
          <w:ilvl w:val="0"/>
          <w:numId w:val="0"/>
        </w:numPr>
        <w:spacing w:after="160" w:line="480" w:lineRule="auto"/>
        <w:jc w:val="both"/>
        <w:rPr>
          <w:rFonts w:hint="eastAsia"/>
          <w:b/>
          <w:bCs/>
          <w:sz w:val="52"/>
          <w:szCs w:val="52"/>
          <w:lang w:eastAsia="zh-CN"/>
        </w:rPr>
      </w:pPr>
    </w:p>
    <w:p>
      <w:pPr>
        <w:widowControl w:val="0"/>
        <w:numPr>
          <w:ilvl w:val="0"/>
          <w:numId w:val="0"/>
        </w:numPr>
        <w:spacing w:after="160" w:line="480" w:lineRule="auto"/>
        <w:jc w:val="center"/>
        <w:rPr>
          <w:rFonts w:hint="eastAsia"/>
          <w:b/>
          <w:bCs/>
          <w:sz w:val="52"/>
          <w:szCs w:val="52"/>
          <w:lang w:eastAsia="zh-CN"/>
        </w:rPr>
      </w:pPr>
    </w:p>
    <w:p>
      <w:pPr>
        <w:widowControl w:val="0"/>
        <w:numPr>
          <w:ilvl w:val="0"/>
          <w:numId w:val="0"/>
        </w:numPr>
        <w:spacing w:after="160" w:line="480" w:lineRule="auto"/>
        <w:jc w:val="center"/>
        <w:rPr>
          <w:rFonts w:hint="eastAsia"/>
          <w:b/>
          <w:bCs/>
          <w:sz w:val="52"/>
          <w:szCs w:val="52"/>
          <w:lang w:eastAsia="zh-CN"/>
        </w:rPr>
      </w:pPr>
    </w:p>
    <w:p>
      <w:pPr>
        <w:widowControl w:val="0"/>
        <w:numPr>
          <w:ilvl w:val="0"/>
          <w:numId w:val="0"/>
        </w:numPr>
        <w:spacing w:after="160" w:line="480" w:lineRule="auto"/>
        <w:jc w:val="center"/>
        <w:rPr>
          <w:rFonts w:hint="default" w:eastAsia="宋体"/>
          <w:b/>
          <w:bCs/>
          <w:sz w:val="52"/>
          <w:szCs w:val="52"/>
          <w:lang w:val="en-US" w:eastAsia="zh-CN"/>
        </w:rPr>
      </w:pPr>
      <w:r>
        <w:rPr>
          <w:rFonts w:hint="eastAsia"/>
          <w:b/>
          <w:bCs/>
          <w:sz w:val="52"/>
          <w:szCs w:val="52"/>
          <w:lang w:eastAsia="zh-CN"/>
        </w:rPr>
        <w:t>第四部分</w:t>
      </w:r>
      <w:r>
        <w:rPr>
          <w:rFonts w:hint="eastAsia"/>
          <w:b/>
          <w:bCs/>
          <w:sz w:val="52"/>
          <w:szCs w:val="52"/>
          <w:lang w:val="en-US" w:eastAsia="zh-CN"/>
        </w:rPr>
        <w:t xml:space="preserve">  名词解释</w:t>
      </w: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val="0"/>
        <w:numPr>
          <w:ilvl w:val="0"/>
          <w:numId w:val="0"/>
        </w:numPr>
        <w:spacing w:after="160" w:line="480" w:lineRule="auto"/>
        <w:jc w:val="both"/>
      </w:pP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（二）事业收入：指事业单位开展专业业务活动及辅助活动所取得的收入。</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（三）其他收入：指除上述“财政拨款收入”、“事业收入”、“经营收入”等以外的收入。</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（十四）公务用车购置：填列单位公务用车车辆购置支出（含车辆购置税）。</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宋体" w:hAnsi="宋体" w:cs="宋体"/>
          <w:color w:val="000000"/>
          <w:kern w:val="0"/>
          <w:sz w:val="32"/>
          <w:szCs w:val="32"/>
        </w:rPr>
      </w:pPr>
      <w:r>
        <w:rPr>
          <w:rFonts w:hint="eastAsia" w:ascii="宋体" w:hAnsi="宋体" w:cs="宋体"/>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_GB2312">
    <w:altName w:val="楷体"/>
    <w:panose1 w:val="02010609030101010101"/>
    <w:charset w:val="86"/>
    <w:family w:val="modern"/>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 w:name="??_GB2312">
    <w:altName w:val="Times New Roman"/>
    <w:panose1 w:val="00000000000000000000"/>
    <w:charset w:val="00"/>
    <w:family w:val="auto"/>
    <w:pitch w:val="default"/>
    <w:sig w:usb0="00000000" w:usb1="00000000" w:usb2="00000000" w:usb3="00000000" w:csb0="00000001" w:csb1="00000000"/>
  </w:font>
  <w:font w:name="DengXian-Bold">
    <w:altName w:val="Segoe Print"/>
    <w:panose1 w:val="00000000000000000000"/>
    <w:charset w:val="00"/>
    <w:family w:val="auto"/>
    <w:pitch w:val="default"/>
    <w:sig w:usb0="00000000" w:usb1="00000000" w:usb2="0000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新宋体">
    <w:panose1 w:val="02010609030101010101"/>
    <w:charset w:val="86"/>
    <w:family w:val="modern"/>
    <w:pitch w:val="default"/>
    <w:sig w:usb0="00000003" w:usb1="288F0000" w:usb2="00000006" w:usb3="00000000" w:csb0="00040001" w:csb1="00000000"/>
  </w:font>
  <w:font w:name="Segoe Print">
    <w:panose1 w:val="02000600000000000000"/>
    <w:charset w:val="00"/>
    <w:family w:val="auto"/>
    <w:pitch w:val="default"/>
    <w:sig w:usb0="0000028F" w:usb1="00000000" w:usb2="00000000" w:usb3="00000000" w:csb0="2000009F" w:csb1="4701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tabs>
        <w:tab w:val="left" w:pos="2943"/>
        <w:tab w:val="clear" w:pos="4153"/>
      </w:tabs>
      <w:jc w:val="both"/>
      <w:rPr>
        <w:rFonts w:hint="eastAsia" w:eastAsiaTheme="minorEastAsia"/>
        <w:lang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87FA78"/>
    <w:multiLevelType w:val="singleLevel"/>
    <w:tmpl w:val="4587FA7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2542C"/>
    <w:rsid w:val="00037870"/>
    <w:rsid w:val="00044E05"/>
    <w:rsid w:val="000475A0"/>
    <w:rsid w:val="000D3B38"/>
    <w:rsid w:val="000E2F81"/>
    <w:rsid w:val="000E3017"/>
    <w:rsid w:val="000E371B"/>
    <w:rsid w:val="001033EE"/>
    <w:rsid w:val="00104404"/>
    <w:rsid w:val="00152FB8"/>
    <w:rsid w:val="00184145"/>
    <w:rsid w:val="001A148B"/>
    <w:rsid w:val="001B3410"/>
    <w:rsid w:val="001C030D"/>
    <w:rsid w:val="001D79E6"/>
    <w:rsid w:val="0020139C"/>
    <w:rsid w:val="002447CC"/>
    <w:rsid w:val="00253D68"/>
    <w:rsid w:val="002C04C4"/>
    <w:rsid w:val="002D08B0"/>
    <w:rsid w:val="002E55F7"/>
    <w:rsid w:val="002F6704"/>
    <w:rsid w:val="00321752"/>
    <w:rsid w:val="00341C8F"/>
    <w:rsid w:val="00383BB1"/>
    <w:rsid w:val="0038636D"/>
    <w:rsid w:val="00391D9D"/>
    <w:rsid w:val="003B17E7"/>
    <w:rsid w:val="003B6C51"/>
    <w:rsid w:val="003C1413"/>
    <w:rsid w:val="003C549F"/>
    <w:rsid w:val="003D5A16"/>
    <w:rsid w:val="00407A34"/>
    <w:rsid w:val="004D0F8C"/>
    <w:rsid w:val="00502187"/>
    <w:rsid w:val="00506087"/>
    <w:rsid w:val="005B3FC2"/>
    <w:rsid w:val="005F4B66"/>
    <w:rsid w:val="005F64BA"/>
    <w:rsid w:val="00617E59"/>
    <w:rsid w:val="00641318"/>
    <w:rsid w:val="00650B96"/>
    <w:rsid w:val="00703DE7"/>
    <w:rsid w:val="0070664B"/>
    <w:rsid w:val="007071B8"/>
    <w:rsid w:val="007414DE"/>
    <w:rsid w:val="00752069"/>
    <w:rsid w:val="00752621"/>
    <w:rsid w:val="007905A9"/>
    <w:rsid w:val="007D6D67"/>
    <w:rsid w:val="007E5500"/>
    <w:rsid w:val="007E5890"/>
    <w:rsid w:val="00822929"/>
    <w:rsid w:val="00840A97"/>
    <w:rsid w:val="008C0149"/>
    <w:rsid w:val="008E22C1"/>
    <w:rsid w:val="009254DD"/>
    <w:rsid w:val="00994AFC"/>
    <w:rsid w:val="009A1ABE"/>
    <w:rsid w:val="009B6BA9"/>
    <w:rsid w:val="009C34CD"/>
    <w:rsid w:val="009D32B4"/>
    <w:rsid w:val="00A35CE0"/>
    <w:rsid w:val="00A44AA4"/>
    <w:rsid w:val="00A530A7"/>
    <w:rsid w:val="00A55E02"/>
    <w:rsid w:val="00A57F6B"/>
    <w:rsid w:val="00A61623"/>
    <w:rsid w:val="00A84687"/>
    <w:rsid w:val="00A90CF3"/>
    <w:rsid w:val="00AA4641"/>
    <w:rsid w:val="00AB0FBC"/>
    <w:rsid w:val="00AD3B6E"/>
    <w:rsid w:val="00AF7932"/>
    <w:rsid w:val="00B56722"/>
    <w:rsid w:val="00B57EEA"/>
    <w:rsid w:val="00BE283C"/>
    <w:rsid w:val="00C10193"/>
    <w:rsid w:val="00C3774E"/>
    <w:rsid w:val="00C87FAB"/>
    <w:rsid w:val="00C91FF7"/>
    <w:rsid w:val="00C94E53"/>
    <w:rsid w:val="00CB4943"/>
    <w:rsid w:val="00CC2CD6"/>
    <w:rsid w:val="00CD4452"/>
    <w:rsid w:val="00D02B73"/>
    <w:rsid w:val="00D821EB"/>
    <w:rsid w:val="00DA5E71"/>
    <w:rsid w:val="00DB35AF"/>
    <w:rsid w:val="00DC0AAA"/>
    <w:rsid w:val="00DF5B88"/>
    <w:rsid w:val="00E2595E"/>
    <w:rsid w:val="00E35374"/>
    <w:rsid w:val="00E436AC"/>
    <w:rsid w:val="00E50C19"/>
    <w:rsid w:val="00E677AE"/>
    <w:rsid w:val="00E856C9"/>
    <w:rsid w:val="00E921D4"/>
    <w:rsid w:val="00E92F51"/>
    <w:rsid w:val="00EB6A8B"/>
    <w:rsid w:val="00EF38C6"/>
    <w:rsid w:val="00F11D41"/>
    <w:rsid w:val="00F2730D"/>
    <w:rsid w:val="00F308B7"/>
    <w:rsid w:val="00F65400"/>
    <w:rsid w:val="00FE3DC8"/>
    <w:rsid w:val="021E60E1"/>
    <w:rsid w:val="02420414"/>
    <w:rsid w:val="02AF0EFB"/>
    <w:rsid w:val="02BF2CED"/>
    <w:rsid w:val="02F504B8"/>
    <w:rsid w:val="033D56B6"/>
    <w:rsid w:val="03A02BD5"/>
    <w:rsid w:val="03C00000"/>
    <w:rsid w:val="03C44A9F"/>
    <w:rsid w:val="04B63851"/>
    <w:rsid w:val="04DE0DC4"/>
    <w:rsid w:val="05731B28"/>
    <w:rsid w:val="059F7150"/>
    <w:rsid w:val="05A02A82"/>
    <w:rsid w:val="06281A86"/>
    <w:rsid w:val="07132FB9"/>
    <w:rsid w:val="07C07B32"/>
    <w:rsid w:val="07E861B7"/>
    <w:rsid w:val="09101D91"/>
    <w:rsid w:val="091F558C"/>
    <w:rsid w:val="0A0022E6"/>
    <w:rsid w:val="0A833170"/>
    <w:rsid w:val="0A84389A"/>
    <w:rsid w:val="0AB668B7"/>
    <w:rsid w:val="0ABD03FE"/>
    <w:rsid w:val="0ABF3F04"/>
    <w:rsid w:val="0B285525"/>
    <w:rsid w:val="0B58069D"/>
    <w:rsid w:val="0B63712C"/>
    <w:rsid w:val="0BC30DF7"/>
    <w:rsid w:val="0C034D21"/>
    <w:rsid w:val="0CC073C5"/>
    <w:rsid w:val="0CC223BD"/>
    <w:rsid w:val="0D8F5747"/>
    <w:rsid w:val="0EBC158E"/>
    <w:rsid w:val="0EE61C27"/>
    <w:rsid w:val="0EE8132E"/>
    <w:rsid w:val="0EF10DE3"/>
    <w:rsid w:val="0F422CEB"/>
    <w:rsid w:val="0F453901"/>
    <w:rsid w:val="0F462D0F"/>
    <w:rsid w:val="0FB21792"/>
    <w:rsid w:val="10540B36"/>
    <w:rsid w:val="11FB56A4"/>
    <w:rsid w:val="129858E4"/>
    <w:rsid w:val="12A166DC"/>
    <w:rsid w:val="12ED63F2"/>
    <w:rsid w:val="134D05AC"/>
    <w:rsid w:val="13C855E3"/>
    <w:rsid w:val="15E029B9"/>
    <w:rsid w:val="16592130"/>
    <w:rsid w:val="16651959"/>
    <w:rsid w:val="1696135D"/>
    <w:rsid w:val="17950B0D"/>
    <w:rsid w:val="17AA37D7"/>
    <w:rsid w:val="1816798D"/>
    <w:rsid w:val="19FA05AE"/>
    <w:rsid w:val="1ADC41F6"/>
    <w:rsid w:val="1B871523"/>
    <w:rsid w:val="1CBC50A1"/>
    <w:rsid w:val="1D0977ED"/>
    <w:rsid w:val="1D1B4E01"/>
    <w:rsid w:val="1D831637"/>
    <w:rsid w:val="1E420EE2"/>
    <w:rsid w:val="1E8023E9"/>
    <w:rsid w:val="1E9F560F"/>
    <w:rsid w:val="1F385D92"/>
    <w:rsid w:val="1F680DBD"/>
    <w:rsid w:val="1F911D63"/>
    <w:rsid w:val="1F9F1015"/>
    <w:rsid w:val="20540B4E"/>
    <w:rsid w:val="20F42819"/>
    <w:rsid w:val="211276AC"/>
    <w:rsid w:val="21575E69"/>
    <w:rsid w:val="221243EA"/>
    <w:rsid w:val="221B2F69"/>
    <w:rsid w:val="22276963"/>
    <w:rsid w:val="22F774F6"/>
    <w:rsid w:val="230C1011"/>
    <w:rsid w:val="232236E1"/>
    <w:rsid w:val="23B24C05"/>
    <w:rsid w:val="245F0DC4"/>
    <w:rsid w:val="247C2A64"/>
    <w:rsid w:val="25A36B5E"/>
    <w:rsid w:val="25B434FD"/>
    <w:rsid w:val="26000C64"/>
    <w:rsid w:val="264A262A"/>
    <w:rsid w:val="26565321"/>
    <w:rsid w:val="26B8742B"/>
    <w:rsid w:val="26D2483D"/>
    <w:rsid w:val="28E74C36"/>
    <w:rsid w:val="290D5E87"/>
    <w:rsid w:val="291E5C01"/>
    <w:rsid w:val="29280D70"/>
    <w:rsid w:val="292961CF"/>
    <w:rsid w:val="2AF11F40"/>
    <w:rsid w:val="2AF709BF"/>
    <w:rsid w:val="2B161C0E"/>
    <w:rsid w:val="2C027E8C"/>
    <w:rsid w:val="2C287CE8"/>
    <w:rsid w:val="2D3C5580"/>
    <w:rsid w:val="2D426F4E"/>
    <w:rsid w:val="2D436D5C"/>
    <w:rsid w:val="2D5802CA"/>
    <w:rsid w:val="2DA119DE"/>
    <w:rsid w:val="2DC64879"/>
    <w:rsid w:val="2E551B0E"/>
    <w:rsid w:val="2E906B66"/>
    <w:rsid w:val="2EB67CCB"/>
    <w:rsid w:val="2EB7659F"/>
    <w:rsid w:val="2F336030"/>
    <w:rsid w:val="2F824E91"/>
    <w:rsid w:val="2FA868C7"/>
    <w:rsid w:val="307B0F42"/>
    <w:rsid w:val="311D4C69"/>
    <w:rsid w:val="320060BB"/>
    <w:rsid w:val="32405E69"/>
    <w:rsid w:val="33A63BA4"/>
    <w:rsid w:val="343A0DB4"/>
    <w:rsid w:val="351F7222"/>
    <w:rsid w:val="364214D3"/>
    <w:rsid w:val="36CF5679"/>
    <w:rsid w:val="36F43209"/>
    <w:rsid w:val="37A87F10"/>
    <w:rsid w:val="37DD26DE"/>
    <w:rsid w:val="39324A31"/>
    <w:rsid w:val="39D9435A"/>
    <w:rsid w:val="39FD33FE"/>
    <w:rsid w:val="3A011376"/>
    <w:rsid w:val="3A5C35BA"/>
    <w:rsid w:val="3C300D77"/>
    <w:rsid w:val="3D0703FB"/>
    <w:rsid w:val="3D871947"/>
    <w:rsid w:val="3D876EF6"/>
    <w:rsid w:val="3DA8021C"/>
    <w:rsid w:val="3E30443F"/>
    <w:rsid w:val="3EAA3E56"/>
    <w:rsid w:val="3F63466C"/>
    <w:rsid w:val="40EC0004"/>
    <w:rsid w:val="40ED31E8"/>
    <w:rsid w:val="410E28F6"/>
    <w:rsid w:val="41170810"/>
    <w:rsid w:val="415E3D4E"/>
    <w:rsid w:val="41C10B2D"/>
    <w:rsid w:val="41C94C83"/>
    <w:rsid w:val="426471A7"/>
    <w:rsid w:val="42E152F5"/>
    <w:rsid w:val="43870C13"/>
    <w:rsid w:val="44037AF7"/>
    <w:rsid w:val="446D2781"/>
    <w:rsid w:val="44A4577F"/>
    <w:rsid w:val="4688234C"/>
    <w:rsid w:val="46B354DC"/>
    <w:rsid w:val="46D55C7D"/>
    <w:rsid w:val="477B414C"/>
    <w:rsid w:val="47C416A7"/>
    <w:rsid w:val="49330C7F"/>
    <w:rsid w:val="49466D4D"/>
    <w:rsid w:val="49D52C5F"/>
    <w:rsid w:val="49DF4551"/>
    <w:rsid w:val="4B355593"/>
    <w:rsid w:val="4B8A37CC"/>
    <w:rsid w:val="4BDF5628"/>
    <w:rsid w:val="4C163C4D"/>
    <w:rsid w:val="4C334F4F"/>
    <w:rsid w:val="4CB3511E"/>
    <w:rsid w:val="4CD226BE"/>
    <w:rsid w:val="4CD925CA"/>
    <w:rsid w:val="4CE4304C"/>
    <w:rsid w:val="4CFE5AD7"/>
    <w:rsid w:val="4E3E60CC"/>
    <w:rsid w:val="4E8845BD"/>
    <w:rsid w:val="4F020DC7"/>
    <w:rsid w:val="4F0917D4"/>
    <w:rsid w:val="4F256F8F"/>
    <w:rsid w:val="4FB05032"/>
    <w:rsid w:val="4FC73826"/>
    <w:rsid w:val="51472D21"/>
    <w:rsid w:val="51AD65A5"/>
    <w:rsid w:val="528A7EBF"/>
    <w:rsid w:val="5326292E"/>
    <w:rsid w:val="539920CC"/>
    <w:rsid w:val="5403576B"/>
    <w:rsid w:val="54440D5C"/>
    <w:rsid w:val="544F321B"/>
    <w:rsid w:val="547E1582"/>
    <w:rsid w:val="54966FA0"/>
    <w:rsid w:val="54A01175"/>
    <w:rsid w:val="54E515C1"/>
    <w:rsid w:val="55AC17FB"/>
    <w:rsid w:val="55F96763"/>
    <w:rsid w:val="566D793F"/>
    <w:rsid w:val="56991B4E"/>
    <w:rsid w:val="57414A6B"/>
    <w:rsid w:val="576E6947"/>
    <w:rsid w:val="57D76157"/>
    <w:rsid w:val="57EF4E7E"/>
    <w:rsid w:val="5851787C"/>
    <w:rsid w:val="587B21E2"/>
    <w:rsid w:val="595F21E5"/>
    <w:rsid w:val="59811F62"/>
    <w:rsid w:val="59C92565"/>
    <w:rsid w:val="5AE36EB4"/>
    <w:rsid w:val="5C2E1B20"/>
    <w:rsid w:val="5CA80AB4"/>
    <w:rsid w:val="5E04166B"/>
    <w:rsid w:val="5E0F7D8E"/>
    <w:rsid w:val="5E22652A"/>
    <w:rsid w:val="5E470D15"/>
    <w:rsid w:val="5E526749"/>
    <w:rsid w:val="5F2D19EB"/>
    <w:rsid w:val="5F901507"/>
    <w:rsid w:val="5F907624"/>
    <w:rsid w:val="5FAF6CF2"/>
    <w:rsid w:val="60F173EC"/>
    <w:rsid w:val="61571A4F"/>
    <w:rsid w:val="61F948A6"/>
    <w:rsid w:val="61FE7206"/>
    <w:rsid w:val="622D4F61"/>
    <w:rsid w:val="63020698"/>
    <w:rsid w:val="638E5F65"/>
    <w:rsid w:val="639C45DC"/>
    <w:rsid w:val="643B32DA"/>
    <w:rsid w:val="644600B7"/>
    <w:rsid w:val="64B32F33"/>
    <w:rsid w:val="662C34D6"/>
    <w:rsid w:val="66D440A7"/>
    <w:rsid w:val="66D47D2D"/>
    <w:rsid w:val="67177DCE"/>
    <w:rsid w:val="674224DE"/>
    <w:rsid w:val="67D26A2C"/>
    <w:rsid w:val="67D92304"/>
    <w:rsid w:val="6852044C"/>
    <w:rsid w:val="68AF4EAA"/>
    <w:rsid w:val="68CF4DBF"/>
    <w:rsid w:val="68ED044A"/>
    <w:rsid w:val="68EE7B1E"/>
    <w:rsid w:val="69684F52"/>
    <w:rsid w:val="6A661E99"/>
    <w:rsid w:val="6AB26253"/>
    <w:rsid w:val="6AF045BE"/>
    <w:rsid w:val="6B241F0D"/>
    <w:rsid w:val="6B8B22C1"/>
    <w:rsid w:val="6C5046E3"/>
    <w:rsid w:val="6C580938"/>
    <w:rsid w:val="6CD707C8"/>
    <w:rsid w:val="6CE56D9E"/>
    <w:rsid w:val="6CEF3326"/>
    <w:rsid w:val="6D512C13"/>
    <w:rsid w:val="6E116C61"/>
    <w:rsid w:val="6E7B0B8F"/>
    <w:rsid w:val="70946E8E"/>
    <w:rsid w:val="71602188"/>
    <w:rsid w:val="71EA3E43"/>
    <w:rsid w:val="7250034F"/>
    <w:rsid w:val="72946C43"/>
    <w:rsid w:val="72F00D7C"/>
    <w:rsid w:val="73857B89"/>
    <w:rsid w:val="73964537"/>
    <w:rsid w:val="73C47271"/>
    <w:rsid w:val="749545A1"/>
    <w:rsid w:val="74FF35C3"/>
    <w:rsid w:val="755B0AB7"/>
    <w:rsid w:val="7580136C"/>
    <w:rsid w:val="75BE0DD2"/>
    <w:rsid w:val="761A79D5"/>
    <w:rsid w:val="76FD6158"/>
    <w:rsid w:val="7730441E"/>
    <w:rsid w:val="77434708"/>
    <w:rsid w:val="777F2645"/>
    <w:rsid w:val="7815033A"/>
    <w:rsid w:val="78430281"/>
    <w:rsid w:val="784F1F00"/>
    <w:rsid w:val="785D3593"/>
    <w:rsid w:val="78A344AF"/>
    <w:rsid w:val="794D7D43"/>
    <w:rsid w:val="79727272"/>
    <w:rsid w:val="79D649F7"/>
    <w:rsid w:val="7A401F92"/>
    <w:rsid w:val="7B29042A"/>
    <w:rsid w:val="7B9B0274"/>
    <w:rsid w:val="7BF905EA"/>
    <w:rsid w:val="7D046720"/>
    <w:rsid w:val="7D3B0225"/>
    <w:rsid w:val="7E0E6222"/>
    <w:rsid w:val="7E95350E"/>
    <w:rsid w:val="7EE306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unhideWhenUsed/>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Balloon Text"/>
    <w:basedOn w:val="1"/>
    <w:link w:val="19"/>
    <w:semiHidden/>
    <w:unhideWhenUsed/>
    <w:qFormat/>
    <w:uiPriority w:val="99"/>
    <w:rPr>
      <w:sz w:val="18"/>
      <w:szCs w:val="18"/>
    </w:rPr>
  </w:style>
  <w:style w:type="paragraph" w:styleId="7">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9">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0">
    <w:name w:val="Normal (Web)"/>
    <w:basedOn w:val="1"/>
    <w:semiHidden/>
    <w:unhideWhenUsed/>
    <w:qFormat/>
    <w:uiPriority w:val="99"/>
    <w:pPr>
      <w:widowControl w:val="0"/>
      <w:adjustRightInd/>
      <w:snapToGrid/>
      <w:spacing w:after="0" w:line="480" w:lineRule="auto"/>
    </w:pPr>
    <w:rPr>
      <w:rFonts w:ascii="Times New Roman" w:hAnsi="Times New Roman" w:eastAsia="宋体" w:cs="Times New Roman"/>
      <w:sz w:val="24"/>
      <w:szCs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4">
    <w:name w:val="Table Grid"/>
    <w:basedOn w:val="13"/>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style>
  <w:style w:type="character" w:customStyle="1" w:styleId="15">
    <w:name w:val="页眉 Char"/>
    <w:basedOn w:val="12"/>
    <w:link w:val="8"/>
    <w:qFormat/>
    <w:uiPriority w:val="99"/>
    <w:rPr>
      <w:sz w:val="18"/>
      <w:szCs w:val="18"/>
    </w:rPr>
  </w:style>
  <w:style w:type="character" w:customStyle="1" w:styleId="16">
    <w:name w:val="页脚 Char"/>
    <w:basedOn w:val="12"/>
    <w:link w:val="7"/>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2"/>
    <w:link w:val="17"/>
    <w:qFormat/>
    <w:uiPriority w:val="1"/>
    <w:rPr>
      <w:kern w:val="0"/>
      <w:sz w:val="22"/>
    </w:rPr>
  </w:style>
  <w:style w:type="character" w:customStyle="1" w:styleId="19">
    <w:name w:val="批注框文本 Char"/>
    <w:basedOn w:val="12"/>
    <w:link w:val="6"/>
    <w:semiHidden/>
    <w:qFormat/>
    <w:uiPriority w:val="99"/>
    <w:rPr>
      <w:rFonts w:ascii="Times New Roman" w:hAnsi="Times New Roman" w:eastAsia="宋体" w:cs="Times New Roman"/>
      <w:sz w:val="18"/>
      <w:szCs w:val="18"/>
    </w:rPr>
  </w:style>
  <w:style w:type="character" w:customStyle="1" w:styleId="20">
    <w:name w:val="标题 Char"/>
    <w:basedOn w:val="12"/>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2"/>
    <w:link w:val="9"/>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2"/>
    <w:qFormat/>
    <w:uiPriority w:val="1"/>
    <w:rPr>
      <w:rFonts w:asciiTheme="minorHAnsi" w:hAnsiTheme="minorEastAsia" w:eastAsiaTheme="minorEastAsia" w:cstheme="minorBidi"/>
      <w:sz w:val="22"/>
      <w:szCs w:val="22"/>
      <w:lang w:eastAsia="zh-CN"/>
    </w:rPr>
  </w:style>
  <w:style w:type="character" w:customStyle="1" w:styleId="23">
    <w:name w:val="Style2"/>
    <w:basedOn w:val="12"/>
    <w:qFormat/>
    <w:uiPriority w:val="1"/>
    <w:rPr>
      <w:rFonts w:asciiTheme="minorHAnsi" w:hAnsiTheme="minorEastAsia" w:eastAsiaTheme="minorEastAsia" w:cstheme="minorBidi"/>
      <w:sz w:val="22"/>
      <w:szCs w:val="22"/>
      <w:lang w:eastAsia="zh-CN"/>
    </w:rPr>
  </w:style>
  <w:style w:type="character" w:customStyle="1" w:styleId="24">
    <w:name w:val="Style3"/>
    <w:basedOn w:val="12"/>
    <w:qFormat/>
    <w:uiPriority w:val="1"/>
    <w:rPr>
      <w:rFonts w:asciiTheme="minorHAnsi" w:hAnsiTheme="minorEastAsia" w:eastAsiaTheme="minorEastAsia" w:cstheme="minorBidi"/>
      <w:szCs w:val="22"/>
      <w:lang w:eastAsia="zh-CN"/>
    </w:rPr>
  </w:style>
  <w:style w:type="character" w:customStyle="1" w:styleId="25">
    <w:name w:val="Style4"/>
    <w:basedOn w:val="12"/>
    <w:qFormat/>
    <w:uiPriority w:val="1"/>
    <w:rPr>
      <w:rFonts w:asciiTheme="minorHAnsi" w:hAnsiTheme="minorEastAsia" w:eastAsiaTheme="minorEastAsia" w:cstheme="minorBidi"/>
      <w:szCs w:val="22"/>
      <w:lang w:eastAsia="zh-CN"/>
    </w:rPr>
  </w:style>
  <w:style w:type="character" w:customStyle="1" w:styleId="26">
    <w:name w:val="Style5"/>
    <w:basedOn w:val="12"/>
    <w:qFormat/>
    <w:uiPriority w:val="1"/>
    <w:rPr>
      <w:rFonts w:asciiTheme="minorHAnsi" w:hAnsiTheme="minorEastAsia" w:eastAsiaTheme="minorEastAsia" w:cstheme="minorBidi"/>
      <w:sz w:val="22"/>
      <w:szCs w:val="22"/>
      <w:lang w:eastAsia="zh-CN"/>
    </w:rPr>
  </w:style>
  <w:style w:type="character" w:customStyle="1" w:styleId="27">
    <w:name w:val="标题 1 Char"/>
    <w:basedOn w:val="12"/>
    <w:link w:val="2"/>
    <w:qFormat/>
    <w:uiPriority w:val="9"/>
    <w:rPr>
      <w:rFonts w:ascii="Times New Roman" w:hAnsi="Times New Roman" w:eastAsia="宋体" w:cs="Times New Roman"/>
      <w:b/>
      <w:bCs/>
      <w:kern w:val="44"/>
      <w:sz w:val="44"/>
      <w:szCs w:val="44"/>
    </w:rPr>
  </w:style>
  <w:style w:type="character" w:customStyle="1" w:styleId="28">
    <w:name w:val="标题 2 Char"/>
    <w:basedOn w:val="12"/>
    <w:link w:val="3"/>
    <w:qFormat/>
    <w:uiPriority w:val="9"/>
    <w:rPr>
      <w:rFonts w:asciiTheme="majorHAnsi" w:hAnsiTheme="majorHAnsi" w:eastAsiaTheme="majorEastAsia" w:cstheme="majorBidi"/>
      <w:b/>
      <w:bCs/>
      <w:sz w:val="32"/>
      <w:szCs w:val="32"/>
    </w:rPr>
  </w:style>
  <w:style w:type="character" w:customStyle="1" w:styleId="29">
    <w:name w:val="标题 3 Char"/>
    <w:basedOn w:val="12"/>
    <w:link w:val="4"/>
    <w:qFormat/>
    <w:uiPriority w:val="9"/>
    <w:rPr>
      <w:rFonts w:ascii="Times New Roman" w:hAnsi="Times New Roman" w:eastAsia="宋体" w:cs="Times New Roman"/>
      <w:b/>
      <w:bCs/>
      <w:sz w:val="32"/>
      <w:szCs w:val="32"/>
    </w:rPr>
  </w:style>
  <w:style w:type="character" w:customStyle="1" w:styleId="30">
    <w:name w:val="标题 4 Char"/>
    <w:basedOn w:val="12"/>
    <w:link w:val="5"/>
    <w:qFormat/>
    <w:uiPriority w:val="9"/>
    <w:rPr>
      <w:rFonts w:asciiTheme="majorHAnsi" w:hAnsiTheme="majorHAnsi" w:eastAsiaTheme="majorEastAsia" w:cstheme="majorBidi"/>
      <w:b/>
      <w:bCs/>
      <w:sz w:val="28"/>
      <w:szCs w:val="28"/>
    </w:r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chart" Target="charts/chart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26032;&#24314;&#25991;&#20214;&#22841;%20(2)\&#25968;&#25454;&#19978;&#20256;&#37038;&#31665;\2018&#24180;&#37096;&#38376;&#20915;&#31639;&#20844;&#24320;\&#30005;&#35270;&#21488;2018&#24180;&#20915;&#31639;&#20844;&#24320;\&#39640;&#37009;&#21439;&#24191;&#25773;&#30005;&#35270;&#21488;10&#24352;&#34920;.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26032;&#24314;&#25991;&#20214;&#22841;%20(2)\&#25968;&#25454;&#19978;&#20256;&#37038;&#31665;\2018&#24180;&#37096;&#38376;&#20915;&#31639;&#20844;&#24320;\&#30005;&#35270;&#21488;2018&#24180;&#20915;&#31639;&#20844;&#24320;\&#39640;&#37009;&#21439;&#24191;&#25773;&#30005;&#35270;&#21488;10&#24352;&#34920;.XLS"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multiLvlStrRef>
              <c:f>'Z03 收入决算表(公开02表)'!$F$4:$K$8</c:f>
              <c:multiLvlStrCache>
                <c:ptCount val="12"/>
                <c:lvl>
                  <c:pt idx="5">
                    <c:v>小计</c:v>
                  </c:pt>
                  <c:pt idx="6">
                    <c:v>2</c:v>
                  </c:pt>
                  <c:pt idx="7">
                    <c:v>3</c:v>
                  </c:pt>
                  <c:pt idx="8">
                    <c:v>4</c:v>
                  </c:pt>
                  <c:pt idx="9">
                    <c:v>5</c:v>
                  </c:pt>
                  <c:pt idx="10">
                    <c:v>6</c:v>
                  </c:pt>
                  <c:pt idx="11">
                    <c:v>7</c:v>
                  </c:pt>
                </c:lvl>
                <c:lvl>
                  <c:pt idx="0">
                    <c:v>财政拨款收入</c:v>
                  </c:pt>
                  <c:pt idx="1">
                    <c:v>上级补助收入</c:v>
                  </c:pt>
                  <c:pt idx="2">
                    <c:v>事业收入</c:v>
                  </c:pt>
                  <c:pt idx="3">
                    <c:v>经营收入</c:v>
                  </c:pt>
                  <c:pt idx="4">
                    <c:v>附属单位上缴收入</c:v>
                  </c:pt>
                  <c:pt idx="5">
                    <c:v>其他收入</c:v>
                  </c:pt>
                </c:lvl>
              </c:multiLvlStrCache>
            </c:multiLvlStrRef>
          </c:cat>
          <c:val>
            <c:numRef>
              <c:f>'Z03 收入决算表(公开02表)'!$F$9:$K$9</c:f>
              <c:numCache>
                <c:formatCode>#,##0.00</c:formatCode>
                <c:ptCount val="6"/>
                <c:pt idx="0">
                  <c:v>270.78</c:v>
                </c:pt>
                <c:pt idx="1">
                  <c:v>0</c:v>
                </c:pt>
                <c:pt idx="2">
                  <c:v>0</c:v>
                </c:pt>
                <c:pt idx="3">
                  <c:v>0</c:v>
                </c:pt>
                <c:pt idx="4">
                  <c:v>0</c:v>
                </c:pt>
                <c:pt idx="5">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0"/>
          <c:dPt>
            <c:idx val="0"/>
            <c:bubble3D val="0"/>
          </c:dPt>
          <c:dPt>
            <c:idx val="1"/>
            <c:bubble3D val="0"/>
          </c:dPt>
          <c:dPt>
            <c:idx val="2"/>
            <c:bubble3D val="0"/>
          </c:dPt>
          <c:dPt>
            <c:idx val="3"/>
            <c:bubble3D val="0"/>
          </c:dPt>
          <c:dPt>
            <c:idx val="4"/>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ext>
            </c:extLst>
          </c:dLbls>
          <c:cat>
            <c:multiLvlStrRef>
              <c:f>'Z04 支出决算表(公开03表)'!$F$4:$J$8</c:f>
              <c:multiLvlStrCache>
                <c:ptCount val="10"/>
                <c:lvl>
                  <c:pt idx="5">
                    <c:v>2</c:v>
                  </c:pt>
                  <c:pt idx="6">
                    <c:v>3</c:v>
                  </c:pt>
                  <c:pt idx="7">
                    <c:v>4</c:v>
                  </c:pt>
                  <c:pt idx="8">
                    <c:v>5</c:v>
                  </c:pt>
                  <c:pt idx="9">
                    <c:v>6</c:v>
                  </c:pt>
                </c:lvl>
                <c:lvl>
                  <c:pt idx="0">
                    <c:v>基本支出</c:v>
                  </c:pt>
                  <c:pt idx="1">
                    <c:v>项目支出</c:v>
                  </c:pt>
                  <c:pt idx="2">
                    <c:v>上缴上级支出</c:v>
                  </c:pt>
                  <c:pt idx="3">
                    <c:v>经营支出</c:v>
                  </c:pt>
                  <c:pt idx="4">
                    <c:v>对附属单位补助支出</c:v>
                  </c:pt>
                </c:lvl>
              </c:multiLvlStrCache>
            </c:multiLvlStrRef>
          </c:cat>
          <c:val>
            <c:numRef>
              <c:f>'Z04 支出决算表(公开03表)'!$F$9:$J$9</c:f>
              <c:numCache>
                <c:formatCode>#,##0.00</c:formatCode>
                <c:ptCount val="5"/>
                <c:pt idx="0">
                  <c:v>58.9</c:v>
                </c:pt>
                <c:pt idx="1">
                  <c:v>202.94</c:v>
                </c:pt>
                <c:pt idx="2">
                  <c:v>0</c:v>
                </c:pt>
                <c:pt idx="3">
                  <c:v>0</c:v>
                </c:pt>
                <c:pt idx="4">
                  <c:v>0</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2017年-2018年财政拨款收支情况</c:v>
                </c:pt>
              </c:strCache>
            </c:strRef>
          </c:tx>
          <c:invertIfNegative val="0"/>
          <c:dLbls>
            <c:delete val="1"/>
          </c:dLbls>
          <c:cat>
            <c:strRef>
              <c:f>Sheet1!$A$2:$A$5</c:f>
              <c:strCache>
                <c:ptCount val="4"/>
                <c:pt idx="0">
                  <c:v>2018年度收入</c:v>
                </c:pt>
                <c:pt idx="1">
                  <c:v>2017年度收入</c:v>
                </c:pt>
                <c:pt idx="2">
                  <c:v>2018年度支出</c:v>
                </c:pt>
                <c:pt idx="3">
                  <c:v>2017年度支出</c:v>
                </c:pt>
              </c:strCache>
            </c:strRef>
          </c:cat>
          <c:val>
            <c:numRef>
              <c:f>Sheet1!$B$2:$B$5</c:f>
              <c:numCache>
                <c:formatCode>General</c:formatCode>
                <c:ptCount val="4"/>
                <c:pt idx="0">
                  <c:v>270.78</c:v>
                </c:pt>
                <c:pt idx="1">
                  <c:v>158.04</c:v>
                </c:pt>
                <c:pt idx="2">
                  <c:v>261.84</c:v>
                </c:pt>
                <c:pt idx="3">
                  <c:v>157.62</c:v>
                </c:pt>
              </c:numCache>
            </c:numRef>
          </c:val>
        </c:ser>
        <c:dLbls>
          <c:showLegendKey val="0"/>
          <c:showVal val="0"/>
          <c:showCatName val="0"/>
          <c:showSerName val="0"/>
          <c:showPercent val="0"/>
          <c:showBubbleSize val="0"/>
        </c:dLbls>
        <c:gapWidth val="150"/>
        <c:axId val="189033472"/>
        <c:axId val="189051648"/>
      </c:barChart>
      <c:catAx>
        <c:axId val="189033472"/>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9051648"/>
        <c:crosses val="autoZero"/>
        <c:auto val="1"/>
        <c:lblAlgn val="ctr"/>
        <c:lblOffset val="100"/>
        <c:noMultiLvlLbl val="0"/>
      </c:catAx>
      <c:valAx>
        <c:axId val="189051648"/>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9033472"/>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barChart>
        <c:barDir val="col"/>
        <c:grouping val="clustered"/>
        <c:varyColors val="0"/>
        <c:ser>
          <c:idx val="0"/>
          <c:order val="0"/>
          <c:tx>
            <c:strRef>
              <c:f>Sheet1!$B$1</c:f>
              <c:strCache>
                <c:ptCount val="1"/>
                <c:pt idx="0">
                  <c:v>财政拨款收支预决算对比</c:v>
                </c:pt>
              </c:strCache>
            </c:strRef>
          </c:tx>
          <c:invertIfNegative val="0"/>
          <c:dLbls>
            <c:delete val="1"/>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124.69</c:v>
                </c:pt>
                <c:pt idx="1">
                  <c:v>270.78</c:v>
                </c:pt>
                <c:pt idx="2">
                  <c:v>124.69</c:v>
                </c:pt>
                <c:pt idx="3">
                  <c:v>261.84</c:v>
                </c:pt>
              </c:numCache>
            </c:numRef>
          </c:val>
        </c:ser>
        <c:dLbls>
          <c:showLegendKey val="0"/>
          <c:showVal val="0"/>
          <c:showCatName val="0"/>
          <c:showSerName val="0"/>
          <c:showPercent val="0"/>
          <c:showBubbleSize val="0"/>
        </c:dLbls>
        <c:gapWidth val="150"/>
        <c:axId val="218952448"/>
        <c:axId val="218953984"/>
      </c:barChart>
      <c:catAx>
        <c:axId val="218952448"/>
        <c:scaling>
          <c:orientation val="minMax"/>
        </c:scaling>
        <c:delete val="0"/>
        <c:axPos val="b"/>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8953984"/>
        <c:crosses val="autoZero"/>
        <c:auto val="1"/>
        <c:lblAlgn val="ctr"/>
        <c:lblOffset val="100"/>
        <c:noMultiLvlLbl val="0"/>
      </c:catAx>
      <c:valAx>
        <c:axId val="218953984"/>
        <c:scaling>
          <c:orientation val="minMax"/>
        </c:scaling>
        <c:delete val="0"/>
        <c:axPos val="l"/>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8952448"/>
        <c:crosses val="autoZero"/>
        <c:crossBetween val="between"/>
      </c:valAx>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200">
                <a:solidFill>
                  <a:schemeClr val="tx1">
                    <a:lumMod val="65000"/>
                    <a:lumOff val="35000"/>
                  </a:schemeClr>
                </a:solidFill>
                <a:uFillTx/>
              </a:rPr>
              <a:t>财政拨款支出决算结构图（按功能分类）</a:t>
            </a:r>
            <a:endParaRPr sz="1200">
              <a:solidFill>
                <a:schemeClr val="tx1">
                  <a:lumMod val="65000"/>
                  <a:lumOff val="35000"/>
                </a:schemeClr>
              </a:solidFill>
              <a:uFillTx/>
            </a:endParaRP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extLst>
                <c:ext xmlns:c15="http://schemas.microsoft.com/office/drawing/2012/chart" uri="{02D57815-91ED-43cb-92C2-25804820EDAC}">
                  <c15:fullRef>
                    <c15:sqref>Sheet1!$A$2:$A$5</c15:sqref>
                  </c15:fullRef>
                </c:ext>
              </c:extLst>
              <c:f>Sheet1!$A$2:$A$3</c:f>
              <c:strCache>
                <c:ptCount val="2"/>
                <c:pt idx="0">
                  <c:v>文化体育与传媒支出</c:v>
                </c:pt>
                <c:pt idx="1">
                  <c:v>其他文化体育与传媒支出</c:v>
                </c:pt>
              </c:strCache>
            </c:strRef>
          </c:cat>
          <c:val>
            <c:numRef>
              <c:extLst>
                <c:ext xmlns:c15="http://schemas.microsoft.com/office/drawing/2012/chart" uri="{02D57815-91ED-43cb-92C2-25804820EDAC}">
                  <c15:fullRef>
                    <c15:sqref>Sheet1!$B$2:$B$5</c15:sqref>
                  </c15:fullRef>
                </c:ext>
              </c:extLst>
              <c:f>Sheet1!$B$2:$B$3</c:f>
              <c:numCache>
                <c:formatCode>0.00%</c:formatCode>
                <c:ptCount val="2"/>
                <c:pt idx="0">
                  <c:v>0.8858</c:v>
                </c:pt>
                <c:pt idx="1">
                  <c:v>0.1142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30"/>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9ECAD6C6-8394-49A0-AB1E-0735EF53373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16</Pages>
  <Words>803</Words>
  <Characters>4580</Characters>
  <Lines>38</Lines>
  <Paragraphs>10</Paragraphs>
  <TotalTime>5</TotalTime>
  <ScaleCrop>false</ScaleCrop>
  <LinksUpToDate>false</LinksUpToDate>
  <CharactersWithSpaces>5373</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2018-08-29T08:38:00Z</dcterms:created>
  <dc:creator>User</dc:creator>
  <cp:lastModifiedBy>Administrator</cp:lastModifiedBy>
  <cp:lastPrinted>2018-10-22T05:44:00Z</cp:lastPrinted>
  <dcterms:modified xsi:type="dcterms:W3CDTF">2021-06-18T01:57:14Z</dcterms:modified>
  <dc:subject>石家庄市xxx部门</dc:subject>
  <dc:title>2017年度部门决算</dc:title>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4A7BBEA258834E40A010BDBA8E2E111B</vt:lpwstr>
  </property>
</Properties>
</file>