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v:textbox>
          </v:shape>
        </w:pict>
      </w:r>
      <w:r>
        <w:pict>
          <v:shape id="椭圆 8" o:spid="_x0000_s1041"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on="t" focussize="0,0"/>
            <v:stroke on="f" weight="1pt" joinstyle="miter"/>
            <v:imagedata o:title=""/>
            <o:lock v:ext="edit"/>
            <v:textbox>
              <w:txbxContent>
                <w:p>
                  <w:pPr>
                    <w:jc w:val="center"/>
                  </w:pPr>
                </w:p>
              </w:txbxContent>
            </v:textbox>
          </v:shape>
        </w:pict>
      </w:r>
      <w:r>
        <w:pict>
          <v:rect id="矩形 14" o:spid="_x0000_s1040"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39"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36" o:spid="_x0000_s1036"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3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3" o:spid="_x0000_s1033" o:spt="203" style="position:absolute;left:0pt;margin-left:-2.5pt;margin-top:0pt;height:308.5pt;width:600.25pt;z-index:-251649024;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35"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4" o:spid="_x0000_s1034"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2"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bookmarkStart w:id="0" w:name="_GoBack"/>
      <w:r>
        <w:pict>
          <v:group id="组合 2" o:spid="_x0000_s1042" o:spt="203" style="position:absolute;left:0pt;margin-left:-81.8pt;margin-top:-64.15pt;height:322.25pt;width:668.15pt;z-index:-65990656;mso-width-relative:page;mso-height-relative:page;" coordorigin="13622,283" coordsize="12005,6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">
            <o:lock v:ext="edit"/>
            <v:rect id="矩形 5" o:spid="_x0000_s1043" o:spt="1" style="position:absolute;left:13622;top:283;height:6170;width:12005;v-text-anchor:middle;" fillcolor="#FDBC11"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a9fsMA&#10;AADaAAAADwAAAGRycy9kb3ducmV2LnhtbESP0WoCMRRE3wX/IVzBt5ptQdHVKLWiCFqo237AdXO7&#10;u3RzsyZR1783QsHHYWbOMLNFa2pxIecrywpeBwkI4tzqigsFP9/rlzEIH5A11pZJwY08LObdzgxT&#10;ba98oEsWChEh7FNUUIbQpFL6vCSDfmAb4uj9WmcwROkKqR1eI9zU8i1JRtJgxXGhxIY+Ssr/srNR&#10;4IaZCclp+TlZV5QvN/vd13h1VKrfa9+nIAK14Rn+b2+1giE8rsQbIO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ya9fsMAAADaAAAADwAAAAAAAAAAAAAAAACYAgAAZHJzL2Rv&#10;d25yZXYueG1sUEsFBgAAAAAEAAQA9QAAAIgDAAAAAA==&#10;">
              <v:path/>
              <v:fill on="t" focussize="0,0"/>
              <v:stroke on="f" weight="1pt"/>
              <v:imagedata o:title=""/>
              <o:lock v:ext="edit"/>
            </v:rect>
            <v:shape id="_x0000_s1044" o:spid="_x0000_s1044" o:spt="202" type="#_x0000_t202" style="position:absolute;left:17229;top:5021;height:1392;width:8083;" filled="f"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W1+MEA&#10;AADaAAAADwAAAGRycy9kb3ducmV2LnhtbESPQWvCQBSE70L/w/KE3nRjoSKpawi2BQ9equn9kX3N&#10;hmbfhuyrif/eFYQeh5n5htkWk+/UhYbYBjawWmagiOtgW24MVOfPxQZUFGSLXWAycKUIxe5ptsXc&#10;hpG/6HKSRiUIxxwNOJE+1zrWjjzGZeiJk/cTBo+S5NBoO+CY4L7TL1m21h5bTgsOe9o7qn9Pf96A&#10;iC1X1+rDx8P3dHwfXVa/YmXM83wq30AJTfIffrQP1sAa7lfSDdC7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VtfjBAAAA2gAAAA8AAAAAAAAAAAAAAAAAmAIAAGRycy9kb3du&#10;cmV2LnhtbFBLBQYAAAAABAAEAPUAAACGAwAAAAA=&#10;">
              <v:path/>
              <v:fill on="f" focussize="0,0"/>
              <v:stroke on="f" joinstyle="miter"/>
              <v:imagedata o:title=""/>
              <o:lock v:ext="edit"/>
              <v:textbox>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bookmarkEnd w:id="0"/>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yellow"/>
          <w:lang w:eastAsia="zh-CN"/>
        </w:rPr>
      </w:pPr>
      <w:r>
        <w:rPr>
          <w:rFonts w:hint="eastAsia" w:ascii="楷体_GB2312" w:hAnsi="楷体_GB2312" w:eastAsia="楷体_GB2312" w:cs="楷体_GB2312"/>
          <w:color w:val="000000" w:themeColor="text1"/>
          <w:kern w:val="0"/>
          <w:sz w:val="44"/>
          <w:szCs w:val="44"/>
        </w:rPr>
        <w:t>高邑县</w:t>
      </w:r>
      <w:r>
        <w:rPr>
          <w:rFonts w:hint="eastAsia" w:ascii="楷体_GB2312" w:hAnsi="楷体_GB2312" w:eastAsia="楷体_GB2312" w:cs="楷体_GB2312"/>
          <w:color w:val="000000" w:themeColor="text1"/>
          <w:kern w:val="0"/>
          <w:sz w:val="44"/>
          <w:szCs w:val="44"/>
          <w:lang w:eastAsia="zh-CN"/>
        </w:rPr>
        <w:t>广播电视台</w:t>
      </w:r>
    </w:p>
    <w:p>
      <w:pPr>
        <w:snapToGrid w:val="0"/>
        <w:jc w:val="center"/>
        <w:rPr>
          <w:rFonts w:ascii="楷体_GB2312" w:hAnsi="楷体_GB2312" w:eastAsia="楷体_GB2312" w:cs="楷体_GB2312"/>
          <w:color w:val="000000" w:themeColor="text1"/>
          <w:kern w:val="0"/>
          <w:sz w:val="44"/>
          <w:szCs w:val="44"/>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1" o:spid="_x0000_s1031"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color2="#FFFFFF" focussize="0,0"/>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3"/>
        <w:spacing w:before="0" w:after="0" w:line="560" w:lineRule="exact"/>
        <w:rPr>
          <w:rFonts w:ascii="宋体" w:cs="宋体"/>
          <w:kern w:val="0"/>
        </w:rPr>
      </w:pPr>
      <w:r>
        <w:rPr>
          <w:rFonts w:hint="eastAsia" w:ascii="宋体" w:hAnsi="宋体" w:cs="宋体"/>
          <w:kern w:val="0"/>
        </w:rPr>
        <w:t>一、部门职责</w:t>
      </w:r>
    </w:p>
    <w:p>
      <w:pPr>
        <w:pStyle w:val="7"/>
        <w:rPr>
          <w:rFonts w:hint="eastAsia" w:ascii="宋体" w:hAnsi="宋体" w:eastAsia="宋体" w:cs="宋体"/>
          <w:color w:val="333333"/>
          <w:sz w:val="30"/>
          <w:szCs w:val="30"/>
        </w:rPr>
      </w:pPr>
      <w:r>
        <w:rPr>
          <w:rFonts w:hint="eastAsia" w:ascii="宋体" w:hAnsi="宋体" w:eastAsia="宋体" w:cs="宋体"/>
          <w:color w:val="333333"/>
          <w:sz w:val="30"/>
          <w:szCs w:val="30"/>
        </w:rPr>
        <w:t>（一）贯彻执行国家、省、市关于媒体融合发展和新闻宣传意识形态方面工作的法律法规和政策规定。</w:t>
      </w:r>
    </w:p>
    <w:p>
      <w:pPr>
        <w:pStyle w:val="7"/>
        <w:rPr>
          <w:rFonts w:hint="eastAsia" w:ascii="宋体" w:hAnsi="宋体" w:eastAsia="宋体" w:cs="宋体"/>
          <w:color w:val="333333"/>
          <w:sz w:val="30"/>
          <w:szCs w:val="30"/>
        </w:rPr>
      </w:pPr>
      <w:r>
        <w:rPr>
          <w:rFonts w:hint="eastAsia" w:ascii="宋体" w:hAnsi="宋体" w:eastAsia="宋体" w:cs="宋体"/>
          <w:color w:val="333333"/>
          <w:sz w:val="30"/>
          <w:szCs w:val="30"/>
        </w:rPr>
        <w:t>（二）贯彻落实县委对宣传工作、舆论导向、实情处置工作指示和部署。</w:t>
      </w:r>
    </w:p>
    <w:p>
      <w:pPr>
        <w:pStyle w:val="7"/>
        <w:rPr>
          <w:rFonts w:hint="eastAsia" w:ascii="宋体" w:hAnsi="宋体" w:eastAsia="宋体" w:cs="宋体"/>
          <w:color w:val="333333"/>
          <w:sz w:val="30"/>
          <w:szCs w:val="30"/>
        </w:rPr>
      </w:pPr>
      <w:r>
        <w:rPr>
          <w:rFonts w:hint="eastAsia" w:ascii="宋体" w:hAnsi="宋体" w:eastAsia="宋体" w:cs="宋体"/>
          <w:color w:val="333333"/>
          <w:sz w:val="30"/>
          <w:szCs w:val="30"/>
        </w:rPr>
        <w:t>（三）组织指导管理全县自媒体，抓好网络宣传阵地建设工作，执行互联网行业政策和法律法规。</w:t>
      </w:r>
    </w:p>
    <w:p>
      <w:pPr>
        <w:pStyle w:val="7"/>
        <w:rPr>
          <w:rFonts w:hint="eastAsia" w:ascii="宋体" w:hAnsi="宋体" w:eastAsia="宋体" w:cs="宋体"/>
          <w:color w:val="333333"/>
          <w:sz w:val="30"/>
          <w:szCs w:val="30"/>
        </w:rPr>
      </w:pPr>
      <w:r>
        <w:rPr>
          <w:rFonts w:hint="eastAsia" w:ascii="宋体" w:hAnsi="宋体" w:eastAsia="宋体" w:cs="宋体"/>
          <w:color w:val="333333"/>
          <w:sz w:val="30"/>
          <w:szCs w:val="30"/>
        </w:rPr>
        <w:t>（四）负责广播电视行业设施管理和广播电视政策、法律法规的执行；管理单位、个人设置的卫星电视广播地面接收设施。</w:t>
      </w:r>
    </w:p>
    <w:p>
      <w:pPr>
        <w:pStyle w:val="7"/>
        <w:rPr>
          <w:rFonts w:hint="eastAsia" w:ascii="宋体" w:hAnsi="宋体" w:eastAsia="宋体" w:cs="宋体"/>
          <w:color w:val="333333"/>
          <w:sz w:val="30"/>
          <w:szCs w:val="30"/>
        </w:rPr>
      </w:pPr>
      <w:r>
        <w:rPr>
          <w:rFonts w:hint="eastAsia" w:ascii="宋体" w:hAnsi="宋体" w:eastAsia="宋体" w:cs="宋体"/>
          <w:color w:val="333333"/>
          <w:sz w:val="30"/>
          <w:szCs w:val="30"/>
        </w:rPr>
        <w:t>（五）负责全县新闻宣传业务管理和对外通联工作；协助配合上级媒体和新闻单位采访和其他工作。</w:t>
      </w:r>
    </w:p>
    <w:p>
      <w:pPr>
        <w:pStyle w:val="7"/>
        <w:rPr>
          <w:rFonts w:hint="eastAsia" w:ascii="宋体" w:hAnsi="宋体" w:eastAsia="宋体" w:cs="宋体"/>
          <w:color w:val="333333"/>
          <w:sz w:val="30"/>
          <w:szCs w:val="30"/>
        </w:rPr>
      </w:pPr>
      <w:r>
        <w:rPr>
          <w:rFonts w:hint="eastAsia" w:ascii="宋体" w:hAnsi="宋体" w:eastAsia="宋体" w:cs="宋体"/>
          <w:color w:val="333333"/>
          <w:sz w:val="30"/>
          <w:szCs w:val="30"/>
        </w:rPr>
        <w:t>（六）拓展融媒体平台及网络平台应用，切实增强平台政务、便民服务的开发应用。</w:t>
      </w:r>
    </w:p>
    <w:p>
      <w:pPr>
        <w:pStyle w:val="7"/>
        <w:rPr>
          <w:rFonts w:hint="eastAsia" w:ascii="宋体" w:hAnsi="宋体" w:eastAsia="宋体" w:cs="宋体"/>
          <w:color w:val="333333"/>
          <w:sz w:val="30"/>
          <w:szCs w:val="30"/>
        </w:rPr>
      </w:pPr>
      <w:r>
        <w:rPr>
          <w:rFonts w:hint="eastAsia" w:ascii="宋体" w:hAnsi="宋体" w:eastAsia="宋体" w:cs="宋体"/>
          <w:color w:val="333333"/>
          <w:sz w:val="30"/>
          <w:szCs w:val="30"/>
        </w:rPr>
        <w:t>（七）负责新闻采访、编辑、播发，做好广播、电视、网络等媒体的对内对外宣传工作。</w:t>
      </w:r>
    </w:p>
    <w:p>
      <w:pPr>
        <w:pStyle w:val="7"/>
        <w:rPr>
          <w:rFonts w:asciiTheme="minorEastAsia" w:hAnsiTheme="minorEastAsia" w:eastAsiaTheme="minorEastAsia"/>
          <w:color w:val="333333"/>
          <w:sz w:val="30"/>
          <w:szCs w:val="30"/>
        </w:rPr>
      </w:pPr>
      <w:r>
        <w:rPr>
          <w:rFonts w:hint="eastAsia" w:ascii="宋体" w:hAnsi="宋体" w:eastAsia="宋体" w:cs="宋体"/>
          <w:color w:val="333333"/>
          <w:sz w:val="30"/>
          <w:szCs w:val="30"/>
        </w:rPr>
        <w:t>（八）推进政务信息公开，建立健全政务信息公开工作制度，面向社会公开有关政务信息。</w:t>
      </w:r>
    </w:p>
    <w:p>
      <w:pPr>
        <w:rPr>
          <w:rFonts w:asciiTheme="minorEastAsia" w:hAnsiTheme="minorEastAsia" w:eastAsiaTheme="minorEastAsia"/>
          <w:sz w:val="30"/>
          <w:szCs w:val="30"/>
        </w:rPr>
      </w:pPr>
      <w:r>
        <w:rPr>
          <w:rFonts w:hint="eastAsia" w:asciiTheme="minorEastAsia" w:hAnsiTheme="minorEastAsia" w:eastAsiaTheme="minorEastAsia"/>
          <w:color w:val="333333"/>
          <w:sz w:val="30"/>
          <w:szCs w:val="30"/>
        </w:rPr>
        <w:t>（九）完成县委、县政府和上级业务主管部门交办的其他工作任务。</w:t>
      </w:r>
    </w:p>
    <w:p>
      <w:pPr>
        <w:spacing w:line="600" w:lineRule="exact"/>
        <w:ind w:firstLine="640" w:firstLineChars="200"/>
        <w:rPr>
          <w:rFonts w:hint="eastAsia" w:ascii="仿宋" w:hAnsi="仿宋" w:eastAsia="仿宋" w:cs="仿宋"/>
          <w:sz w:val="32"/>
          <w:szCs w:val="32"/>
        </w:rPr>
      </w:pPr>
    </w:p>
    <w:p>
      <w:pPr>
        <w:spacing w:line="600" w:lineRule="exact"/>
        <w:ind w:firstLine="640" w:firstLineChars="200"/>
        <w:rPr>
          <w:rFonts w:hint="eastAsia" w:ascii="仿宋" w:hAnsi="仿宋" w:eastAsia="仿宋" w:cs="仿宋"/>
          <w:sz w:val="32"/>
          <w:szCs w:val="32"/>
        </w:rPr>
      </w:pPr>
    </w:p>
    <w:p>
      <w:pPr>
        <w:pStyle w:val="3"/>
        <w:spacing w:before="0" w:after="0" w:line="560" w:lineRule="exact"/>
        <w:rPr>
          <w:rFonts w:hint="eastAsia" w:ascii="宋体" w:hAnsi="宋体" w:cs="宋体"/>
          <w:kern w:val="0"/>
          <w:lang w:eastAsia="zh-CN"/>
        </w:rPr>
      </w:pPr>
      <w:r>
        <w:rPr>
          <w:rFonts w:hint="eastAsia" w:ascii="宋体" w:hAnsi="宋体" w:cs="宋体"/>
          <w:kern w:val="0"/>
          <w:lang w:eastAsia="zh-CN"/>
        </w:rPr>
        <w:t>二、机构设置</w:t>
      </w:r>
    </w:p>
    <w:p>
      <w:pPr>
        <w:pStyle w:val="3"/>
        <w:spacing w:before="0" w:after="0" w:line="560" w:lineRule="exact"/>
        <w:rPr>
          <w:rFonts w:hint="eastAsia" w:ascii="宋体" w:hAnsi="宋体" w:eastAsia="宋体" w:cs="宋体"/>
          <w:b w:val="0"/>
          <w:bCs w:val="0"/>
          <w:sz w:val="30"/>
          <w:szCs w:val="30"/>
        </w:rPr>
      </w:pPr>
      <w:r>
        <w:rPr>
          <w:rFonts w:hint="eastAsia" w:ascii="宋体" w:hAnsi="宋体" w:eastAsia="宋体" w:cs="宋体"/>
          <w:b w:val="0"/>
          <w:bCs w:val="0"/>
          <w:sz w:val="30"/>
          <w:szCs w:val="30"/>
        </w:rPr>
        <w:t>从决算编报单位构成看，纳入2019 年度本部门决算汇编范围的独立核算单位（以下简称“单位”）共 1 个，具体情况如下：</w:t>
      </w:r>
    </w:p>
    <w:tbl>
      <w:tblPr>
        <w:tblStyle w:val="8"/>
        <w:tblpPr w:leftFromText="180" w:rightFromText="180" w:vertAnchor="text" w:horzAnchor="page" w:tblpXSpec="center" w:tblpY="10"/>
        <w:tblOverlap w:val="never"/>
        <w:tblW w:w="95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6"/>
        <w:gridCol w:w="3487"/>
        <w:gridCol w:w="2446"/>
        <w:gridCol w:w="26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trPr>
        <w:tc>
          <w:tcPr>
            <w:tcW w:w="986" w:type="dxa"/>
            <w:tcBorders>
              <w:top w:val="single" w:color="auto" w:sz="4" w:space="0"/>
              <w:left w:val="single" w:color="auto" w:sz="4" w:space="0"/>
              <w:bottom w:val="single" w:color="auto" w:sz="4" w:space="0"/>
              <w:right w:val="single" w:color="auto" w:sz="4" w:space="0"/>
            </w:tcBorders>
            <w:vAlign w:val="center"/>
          </w:tcPr>
          <w:p>
            <w:pPr>
              <w:widowControl w:val="0"/>
              <w:spacing w:after="160" w:line="560" w:lineRule="exact"/>
              <w:jc w:val="center"/>
              <w:rPr>
                <w:rFonts w:ascii="Times New Roman" w:hAnsi="Times New Roman" w:eastAsia="宋体"/>
                <w:kern w:val="2"/>
                <w:sz w:val="30"/>
                <w:szCs w:val="30"/>
              </w:rPr>
            </w:pPr>
            <w:r>
              <w:rPr>
                <w:rFonts w:hint="eastAsia"/>
                <w:sz w:val="30"/>
                <w:szCs w:val="30"/>
              </w:rPr>
              <w:t>序号</w:t>
            </w:r>
          </w:p>
        </w:tc>
        <w:tc>
          <w:tcPr>
            <w:tcW w:w="3487" w:type="dxa"/>
            <w:tcBorders>
              <w:top w:val="single" w:color="auto" w:sz="4" w:space="0"/>
              <w:left w:val="single" w:color="auto" w:sz="4" w:space="0"/>
              <w:bottom w:val="single" w:color="auto" w:sz="4" w:space="0"/>
              <w:right w:val="single" w:color="auto" w:sz="4" w:space="0"/>
            </w:tcBorders>
            <w:vAlign w:val="center"/>
          </w:tcPr>
          <w:p>
            <w:pPr>
              <w:widowControl w:val="0"/>
              <w:spacing w:after="160" w:line="560" w:lineRule="exact"/>
              <w:jc w:val="center"/>
              <w:rPr>
                <w:rFonts w:ascii="Times New Roman" w:hAnsi="Times New Roman" w:eastAsia="宋体"/>
                <w:kern w:val="2"/>
                <w:sz w:val="30"/>
                <w:szCs w:val="30"/>
              </w:rPr>
            </w:pPr>
            <w:r>
              <w:rPr>
                <w:rFonts w:hint="eastAsia"/>
                <w:sz w:val="30"/>
                <w:szCs w:val="30"/>
              </w:rPr>
              <w:t>单位名称</w:t>
            </w:r>
          </w:p>
        </w:tc>
        <w:tc>
          <w:tcPr>
            <w:tcW w:w="2446" w:type="dxa"/>
            <w:tcBorders>
              <w:top w:val="single" w:color="auto" w:sz="4" w:space="0"/>
              <w:left w:val="single" w:color="auto" w:sz="4" w:space="0"/>
              <w:bottom w:val="single" w:color="auto" w:sz="4" w:space="0"/>
              <w:right w:val="single" w:color="auto" w:sz="4" w:space="0"/>
            </w:tcBorders>
            <w:vAlign w:val="center"/>
          </w:tcPr>
          <w:p>
            <w:pPr>
              <w:widowControl w:val="0"/>
              <w:spacing w:after="160" w:line="560" w:lineRule="exact"/>
              <w:jc w:val="center"/>
              <w:rPr>
                <w:rFonts w:ascii="Times New Roman" w:hAnsi="Times New Roman" w:eastAsia="宋体"/>
                <w:kern w:val="2"/>
                <w:sz w:val="30"/>
                <w:szCs w:val="30"/>
              </w:rPr>
            </w:pPr>
            <w:r>
              <w:rPr>
                <w:rFonts w:hint="eastAsia"/>
                <w:sz w:val="30"/>
                <w:szCs w:val="30"/>
              </w:rPr>
              <w:t>单位基本性质</w:t>
            </w:r>
          </w:p>
        </w:tc>
        <w:tc>
          <w:tcPr>
            <w:tcW w:w="2666" w:type="dxa"/>
            <w:tcBorders>
              <w:top w:val="single" w:color="auto" w:sz="4" w:space="0"/>
              <w:left w:val="single" w:color="auto" w:sz="4" w:space="0"/>
              <w:bottom w:val="single" w:color="auto" w:sz="4" w:space="0"/>
              <w:right w:val="single" w:color="auto" w:sz="4" w:space="0"/>
            </w:tcBorders>
            <w:vAlign w:val="center"/>
          </w:tcPr>
          <w:p>
            <w:pPr>
              <w:widowControl w:val="0"/>
              <w:spacing w:after="160" w:line="560" w:lineRule="exact"/>
              <w:jc w:val="center"/>
              <w:rPr>
                <w:rFonts w:ascii="Times New Roman" w:hAnsi="Times New Roman" w:eastAsia="宋体"/>
                <w:kern w:val="2"/>
                <w:sz w:val="30"/>
                <w:szCs w:val="30"/>
              </w:rPr>
            </w:pPr>
            <w:r>
              <w:rPr>
                <w:rFonts w:hint="eastAsia"/>
                <w:sz w:val="30"/>
                <w:szCs w:val="30"/>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trPr>
        <w:tc>
          <w:tcPr>
            <w:tcW w:w="986" w:type="dxa"/>
            <w:tcBorders>
              <w:top w:val="single" w:color="auto" w:sz="4" w:space="0"/>
              <w:left w:val="single" w:color="auto" w:sz="4" w:space="0"/>
              <w:bottom w:val="single" w:color="auto" w:sz="4" w:space="0"/>
              <w:right w:val="single" w:color="auto" w:sz="4" w:space="0"/>
            </w:tcBorders>
          </w:tcPr>
          <w:p>
            <w:pPr>
              <w:widowControl w:val="0"/>
              <w:spacing w:after="160" w:line="560" w:lineRule="exact"/>
              <w:jc w:val="center"/>
              <w:rPr>
                <w:rFonts w:ascii="Times New Roman" w:hAnsi="Times New Roman" w:eastAsia="宋体"/>
                <w:kern w:val="2"/>
                <w:sz w:val="30"/>
                <w:szCs w:val="30"/>
              </w:rPr>
            </w:pPr>
            <w:r>
              <w:rPr>
                <w:sz w:val="30"/>
                <w:szCs w:val="30"/>
              </w:rPr>
              <w:t>1</w:t>
            </w:r>
          </w:p>
        </w:tc>
        <w:tc>
          <w:tcPr>
            <w:tcW w:w="3487" w:type="dxa"/>
            <w:tcBorders>
              <w:top w:val="single" w:color="auto" w:sz="4" w:space="0"/>
              <w:left w:val="single" w:color="auto" w:sz="4" w:space="0"/>
              <w:bottom w:val="single" w:color="auto" w:sz="4" w:space="0"/>
              <w:right w:val="single" w:color="auto" w:sz="4" w:space="0"/>
            </w:tcBorders>
          </w:tcPr>
          <w:p>
            <w:pPr>
              <w:widowControl w:val="0"/>
              <w:spacing w:after="160" w:line="560" w:lineRule="exact"/>
              <w:jc w:val="both"/>
              <w:rPr>
                <w:rFonts w:ascii="Times New Roman" w:hAnsi="Times New Roman" w:eastAsia="宋体"/>
                <w:kern w:val="2"/>
                <w:sz w:val="30"/>
                <w:szCs w:val="30"/>
              </w:rPr>
            </w:pPr>
            <w:r>
              <w:rPr>
                <w:rFonts w:hint="eastAsia"/>
                <w:sz w:val="30"/>
                <w:szCs w:val="30"/>
              </w:rPr>
              <w:t>高邑县广播电视台</w:t>
            </w:r>
          </w:p>
        </w:tc>
        <w:tc>
          <w:tcPr>
            <w:tcW w:w="2446" w:type="dxa"/>
            <w:tcBorders>
              <w:top w:val="single" w:color="auto" w:sz="4" w:space="0"/>
              <w:left w:val="single" w:color="auto" w:sz="4" w:space="0"/>
              <w:bottom w:val="single" w:color="auto" w:sz="4" w:space="0"/>
              <w:right w:val="single" w:color="auto" w:sz="4" w:space="0"/>
            </w:tcBorders>
          </w:tcPr>
          <w:p>
            <w:pPr>
              <w:widowControl w:val="0"/>
              <w:spacing w:after="160" w:line="560" w:lineRule="exact"/>
              <w:jc w:val="center"/>
              <w:rPr>
                <w:rFonts w:ascii="Times New Roman" w:hAnsi="Times New Roman" w:eastAsia="宋体"/>
                <w:kern w:val="2"/>
                <w:sz w:val="30"/>
                <w:szCs w:val="30"/>
              </w:rPr>
            </w:pPr>
            <w:r>
              <w:rPr>
                <w:rFonts w:hint="eastAsia"/>
                <w:sz w:val="30"/>
                <w:szCs w:val="30"/>
              </w:rPr>
              <w:t>财政补助事业单位</w:t>
            </w:r>
          </w:p>
        </w:tc>
        <w:tc>
          <w:tcPr>
            <w:tcW w:w="2666" w:type="dxa"/>
            <w:tcBorders>
              <w:top w:val="single" w:color="auto" w:sz="4" w:space="0"/>
              <w:left w:val="single" w:color="auto" w:sz="4" w:space="0"/>
              <w:bottom w:val="single" w:color="auto" w:sz="4" w:space="0"/>
              <w:right w:val="single" w:color="auto" w:sz="4" w:space="0"/>
            </w:tcBorders>
          </w:tcPr>
          <w:p>
            <w:pPr>
              <w:widowControl w:val="0"/>
              <w:spacing w:after="160" w:line="560" w:lineRule="exact"/>
              <w:jc w:val="center"/>
              <w:rPr>
                <w:rFonts w:ascii="Times New Roman" w:hAnsi="Times New Roman" w:eastAsia="宋体"/>
                <w:kern w:val="2"/>
                <w:sz w:val="30"/>
                <w:szCs w:val="30"/>
              </w:rPr>
            </w:pPr>
            <w:r>
              <w:rPr>
                <w:rFonts w:hint="eastAsia"/>
                <w:sz w:val="30"/>
                <w:szCs w:val="30"/>
              </w:rPr>
              <w:t>财政拨款</w:t>
            </w:r>
          </w:p>
        </w:tc>
      </w:tr>
    </w:tbl>
    <w:p>
      <w:pPr>
        <w:spacing w:after="0"/>
        <w:rPr>
          <w:rFonts w:ascii="宋体" w:cs="宋体"/>
          <w:sz w:val="32"/>
          <w:szCs w:val="32"/>
        </w:rPr>
        <w:sectPr>
          <w:pgSz w:w="11906" w:h="16838"/>
          <w:pgMar w:top="2098" w:right="1474" w:bottom="1985" w:left="1588" w:header="851" w:footer="992" w:gutter="0"/>
          <w:pgNumType w:start="0"/>
          <w:cols w:space="720" w:num="1"/>
          <w:docGrid w:type="lines" w:linePitch="312" w:charSpace="0"/>
        </w:sectPr>
      </w:pPr>
    </w:p>
    <w:p>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0" o:spid="_x0000_s1030"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29" o:spid="_x0000_s1029"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color2="#FFFFFF"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pacing w:line="580" w:lineRule="exact"/>
        <w:outlineLvl w:val="1"/>
        <w:rPr>
          <w:rFonts w:hint="eastAsia" w:ascii="宋体" w:hAnsi="宋体" w:eastAsia="宋体" w:cs="宋体"/>
          <w:b/>
          <w:bCs/>
          <w:kern w:val="2"/>
          <w:sz w:val="30"/>
          <w:szCs w:val="30"/>
        </w:rPr>
      </w:pPr>
      <w:r>
        <w:rPr>
          <w:rFonts w:hint="eastAsia" w:ascii="宋体" w:hAnsi="宋体" w:eastAsia="宋体" w:cs="宋体"/>
          <w:b/>
          <w:bCs/>
          <w:sz w:val="30"/>
          <w:szCs w:val="30"/>
        </w:rPr>
        <w:t>一、收入支出决算总体情况说明</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本部门2019年度收支总计（含结转和结余）649.33万元。与2018年度决算相比，收支各增加377.68万元，增长58%，主要原因是机构改革人员合并项目增加。</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二、收入决算情况说明</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本部门2019年度本年收入合计639.76万元，其中：财政拨款收入630.76万元，占98.8%；事业收入0万元，占0%；经营收入0万元，占0%；上级补助收入8万元，占1%；其他收入1万元，占0.2%。</w:t>
      </w:r>
    </w:p>
    <w:p>
      <w:pPr>
        <w:spacing w:line="580" w:lineRule="exact"/>
        <w:ind w:firstLine="600" w:firstLineChars="200"/>
        <w:rPr>
          <w:rFonts w:cs="DengXian-Regular" w:asciiTheme="minorEastAsia" w:hAnsiTheme="minorEastAsia" w:eastAsiaTheme="minorEastAsia"/>
          <w:sz w:val="30"/>
          <w:szCs w:val="30"/>
        </w:rPr>
      </w:pPr>
      <w:r>
        <w:rPr>
          <w:rFonts w:hint="eastAsia" w:cs="DengXian-Regular" w:asciiTheme="minorEastAsia" w:hAnsiTheme="minorEastAsia" w:eastAsiaTheme="minorEastAsia"/>
          <w:sz w:val="30"/>
          <w:szCs w:val="30"/>
        </w:rPr>
        <w:drawing>
          <wp:anchor distT="0" distB="0" distL="114300" distR="114300" simplePos="0" relativeHeight="251692032" behindDoc="0" locked="0" layoutInCell="1" allowOverlap="1">
            <wp:simplePos x="0" y="0"/>
            <wp:positionH relativeFrom="column">
              <wp:posOffset>904875</wp:posOffset>
            </wp:positionH>
            <wp:positionV relativeFrom="paragraph">
              <wp:posOffset>346075</wp:posOffset>
            </wp:positionV>
            <wp:extent cx="3905250" cy="1428750"/>
            <wp:effectExtent l="4445" t="4445" r="14605" b="14605"/>
            <wp:wrapNone/>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spacing w:line="580" w:lineRule="exact"/>
        <w:ind w:firstLine="600" w:firstLineChars="200"/>
        <w:rPr>
          <w:rFonts w:cs="DengXian-Regular" w:asciiTheme="minorEastAsia" w:hAnsiTheme="minorEastAsia" w:eastAsiaTheme="minorEastAsia"/>
          <w:sz w:val="30"/>
          <w:szCs w:val="30"/>
        </w:rPr>
      </w:pPr>
    </w:p>
    <w:p>
      <w:pPr>
        <w:spacing w:line="580" w:lineRule="exact"/>
        <w:ind w:firstLine="600" w:firstLineChars="200"/>
        <w:rPr>
          <w:rFonts w:cs="DengXian-Regular" w:asciiTheme="minorEastAsia" w:hAnsiTheme="minorEastAsia" w:eastAsiaTheme="minorEastAsia"/>
          <w:sz w:val="30"/>
          <w:szCs w:val="30"/>
        </w:rPr>
      </w:pPr>
    </w:p>
    <w:p>
      <w:pPr>
        <w:spacing w:line="580" w:lineRule="exact"/>
        <w:ind w:firstLine="600" w:firstLineChars="200"/>
        <w:rPr>
          <w:rFonts w:cs="DengXian-Regular" w:asciiTheme="minorEastAsia" w:hAnsiTheme="minorEastAsia" w:eastAsiaTheme="minorEastAsia"/>
          <w:sz w:val="30"/>
          <w:szCs w:val="30"/>
        </w:rPr>
      </w:pPr>
    </w:p>
    <w:p>
      <w:pPr>
        <w:spacing w:line="580" w:lineRule="exact"/>
        <w:ind w:firstLine="600" w:firstLineChars="200"/>
        <w:rPr>
          <w:rFonts w:cs="DengXian-Regular" w:asciiTheme="minorEastAsia" w:hAnsiTheme="minorEastAsia" w:eastAsiaTheme="minorEastAsia"/>
          <w:b/>
          <w:bCs/>
          <w:sz w:val="30"/>
          <w:szCs w:val="30"/>
        </w:rPr>
      </w:pPr>
    </w:p>
    <w:p>
      <w:pPr>
        <w:keepNext/>
        <w:keepLines/>
        <w:spacing w:line="580" w:lineRule="exact"/>
        <w:outlineLvl w:val="1"/>
        <w:rPr>
          <w:rFonts w:hint="eastAsia" w:asciiTheme="minorEastAsia" w:hAnsiTheme="minorEastAsia" w:eastAsiaTheme="minorEastAsia"/>
          <w:b/>
          <w:bCs/>
          <w:sz w:val="30"/>
          <w:szCs w:val="30"/>
        </w:rPr>
      </w:pP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三、支出决算情况说明</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本部门2019年度本年支出合计475.17万元，其中：基本支出294.67万元，占62%；项目支出180.5万元，占38%；经营支出0万元，占0%。</w:t>
      </w:r>
    </w:p>
    <w:p>
      <w:pPr>
        <w:spacing w:line="580" w:lineRule="exact"/>
        <w:ind w:firstLine="600" w:firstLineChars="200"/>
        <w:rPr>
          <w:rFonts w:asciiTheme="minorEastAsia" w:hAnsiTheme="minorEastAsia" w:eastAsiaTheme="minorEastAsia"/>
          <w:sz w:val="30"/>
          <w:szCs w:val="30"/>
        </w:rPr>
      </w:pPr>
      <w:r>
        <w:rPr>
          <w:rFonts w:hint="eastAsia" w:cs="DengXian-Regular" w:asciiTheme="minorEastAsia" w:hAnsiTheme="minorEastAsia" w:eastAsiaTheme="minorEastAsia"/>
          <w:sz w:val="30"/>
          <w:szCs w:val="30"/>
        </w:rPr>
        <w:drawing>
          <wp:anchor distT="0" distB="0" distL="114300" distR="114300" simplePos="0" relativeHeight="251693056" behindDoc="0" locked="0" layoutInCell="1" allowOverlap="1">
            <wp:simplePos x="0" y="0"/>
            <wp:positionH relativeFrom="column">
              <wp:posOffset>676910</wp:posOffset>
            </wp:positionH>
            <wp:positionV relativeFrom="paragraph">
              <wp:posOffset>244475</wp:posOffset>
            </wp:positionV>
            <wp:extent cx="4305300" cy="1685925"/>
            <wp:effectExtent l="4445" t="4445" r="14605" b="5080"/>
            <wp:wrapNone/>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四、财政拨款收入支出决算总体情况说明</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（一）财政拨款收支与2018 年度决算对比情况</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本部门2019年度财政拨款年初结转和结余9.57万元，本年财政拨款收入630.76万元,上级补助收入8万元，其他收入1万元。比2018年度增加368.98万元，增长57%，主要是机构改革人员合并项目增加；本年支出475.17万元，年末结转和结余174.17万元，比2018年度增加213.33万元，增长45%，主要是机构改革人员合并项目增加。</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（二）财政拨款收支与年初预算数对比情况</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本部门2019年度一般公共预算财政拨款收入630.76万元，完成年初预算的199%,比年初预算增加316.62万元，决算数大于预算数主要原因是工资调整和项目增加；本年支出475.17万元，完成年初预算的151%,比年初预算增加161.03万元，决算数大于预算数主要原因是主要是工资调整和项目增加。</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lang w:eastAsia="zh-CN"/>
        </w:rPr>
        <w:t>（三）</w:t>
      </w:r>
      <w:r>
        <w:rPr>
          <w:rFonts w:hint="eastAsia" w:ascii="宋体" w:hAnsi="宋体" w:eastAsia="宋体" w:cs="宋体"/>
          <w:b/>
          <w:bCs/>
          <w:sz w:val="30"/>
          <w:szCs w:val="30"/>
        </w:rPr>
        <w:t>财政拨款支出决算结构情况。</w:t>
      </w:r>
    </w:p>
    <w:p>
      <w:pPr>
        <w:pStyle w:val="7"/>
        <w:ind w:firstLine="600" w:firstLineChars="200"/>
        <w:rPr>
          <w:rFonts w:hint="default" w:ascii="宋体" w:hAnsi="宋体" w:eastAsia="宋体" w:cs="宋体"/>
          <w:color w:val="333333"/>
          <w:sz w:val="30"/>
          <w:szCs w:val="30"/>
          <w:lang w:val="en-US" w:eastAsia="zh-CN"/>
        </w:rPr>
      </w:pPr>
      <w:r>
        <w:rPr>
          <w:rFonts w:hint="eastAsia" w:ascii="宋体" w:hAnsi="宋体" w:eastAsia="宋体" w:cs="宋体"/>
          <w:color w:val="333333"/>
          <w:sz w:val="30"/>
          <w:szCs w:val="30"/>
        </w:rPr>
        <w:t>2019 年度财政拨款支出475.17万元，主要用于以下方面</w:t>
      </w:r>
      <w:r>
        <w:rPr>
          <w:rFonts w:hint="eastAsia" w:ascii="宋体" w:hAnsi="宋体" w:cs="宋体"/>
          <w:color w:val="333333"/>
          <w:sz w:val="30"/>
          <w:szCs w:val="30"/>
          <w:lang w:eastAsia="zh-CN"/>
        </w:rPr>
        <w:t>：（按本部门支出的功能分类列举），</w:t>
      </w:r>
      <w:r>
        <w:rPr>
          <w:rFonts w:hint="eastAsia" w:ascii="宋体" w:hAnsi="宋体" w:eastAsia="宋体" w:cs="宋体"/>
          <w:color w:val="333333"/>
          <w:sz w:val="30"/>
          <w:szCs w:val="30"/>
        </w:rPr>
        <w:t>文化旅游体育与传媒支出</w:t>
      </w:r>
      <w:r>
        <w:rPr>
          <w:rFonts w:hint="eastAsia" w:ascii="宋体" w:hAnsi="宋体" w:cs="宋体"/>
          <w:color w:val="333333"/>
          <w:sz w:val="30"/>
          <w:szCs w:val="30"/>
          <w:lang w:val="en-US" w:eastAsia="zh-CN"/>
        </w:rPr>
        <w:t>446.87万元，占94%，社会保障和就业支出13.41万元，占2.8%，卫生健康支出4.6万元，占0.1%，住房保障支出10.28万元，占2.2%。</w:t>
      </w:r>
    </w:p>
    <w:p>
      <w:pPr>
        <w:spacing w:line="580" w:lineRule="exact"/>
        <w:rPr>
          <w:rFonts w:hint="eastAsia" w:cs="DengXian-Regular" w:asciiTheme="minorEastAsia" w:hAnsiTheme="minorEastAsia" w:eastAsiaTheme="minorEastAsia"/>
          <w:sz w:val="30"/>
          <w:szCs w:val="30"/>
          <w:lang w:eastAsia="zh-CN"/>
        </w:rPr>
      </w:pPr>
    </w:p>
    <w:p>
      <w:pPr>
        <w:keepNext/>
        <w:keepLines/>
        <w:spacing w:line="580" w:lineRule="exact"/>
        <w:ind w:firstLine="1680" w:firstLineChars="800"/>
        <w:outlineLvl w:val="1"/>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财政拨款支出决算结构图（按功能分类）</w:t>
      </w:r>
    </w:p>
    <w:p>
      <w:pPr>
        <w:spacing w:line="580" w:lineRule="exact"/>
        <w:ind w:firstLine="600" w:firstLineChars="200"/>
        <w:rPr>
          <w:rFonts w:cs="DengXian-Regular" w:asciiTheme="minorEastAsia" w:hAnsiTheme="minorEastAsia" w:eastAsiaTheme="minorEastAsia"/>
          <w:sz w:val="30"/>
          <w:szCs w:val="30"/>
        </w:rPr>
      </w:pPr>
      <w:r>
        <w:rPr>
          <w:rFonts w:hint="eastAsia" w:cs="DengXian-Regular" w:asciiTheme="minorEastAsia" w:hAnsiTheme="minorEastAsia" w:eastAsiaTheme="minorEastAsia"/>
          <w:sz w:val="30"/>
          <w:szCs w:val="30"/>
          <w:lang w:eastAsia="zh-CN"/>
        </w:rPr>
        <w:drawing>
          <wp:anchor distT="0" distB="0" distL="114300" distR="114300" simplePos="0" relativeHeight="251694080" behindDoc="0" locked="0" layoutInCell="1" allowOverlap="1">
            <wp:simplePos x="0" y="0"/>
            <wp:positionH relativeFrom="column">
              <wp:posOffset>332105</wp:posOffset>
            </wp:positionH>
            <wp:positionV relativeFrom="paragraph">
              <wp:posOffset>76835</wp:posOffset>
            </wp:positionV>
            <wp:extent cx="4669790" cy="2371090"/>
            <wp:effectExtent l="4445" t="4445" r="12065" b="5715"/>
            <wp:wrapNone/>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spacing w:line="580" w:lineRule="exact"/>
        <w:ind w:firstLine="600" w:firstLineChars="200"/>
        <w:rPr>
          <w:rFonts w:cs="DengXian-Regular" w:asciiTheme="minorEastAsia" w:hAnsiTheme="minorEastAsia" w:eastAsiaTheme="minorEastAsia"/>
          <w:sz w:val="30"/>
          <w:szCs w:val="30"/>
        </w:rPr>
      </w:pPr>
    </w:p>
    <w:p>
      <w:pPr>
        <w:spacing w:line="580" w:lineRule="exact"/>
        <w:ind w:firstLine="600" w:firstLineChars="200"/>
        <w:rPr>
          <w:rFonts w:cs="DengXian-Regular" w:asciiTheme="minorEastAsia" w:hAnsiTheme="minorEastAsia" w:eastAsiaTheme="minorEastAsia"/>
          <w:sz w:val="30"/>
          <w:szCs w:val="30"/>
        </w:rPr>
      </w:pPr>
    </w:p>
    <w:p>
      <w:pPr>
        <w:spacing w:line="580" w:lineRule="exact"/>
        <w:ind w:firstLine="600" w:firstLineChars="200"/>
        <w:rPr>
          <w:rFonts w:cs="DengXian-Regular" w:asciiTheme="minorEastAsia" w:hAnsiTheme="minorEastAsia" w:eastAsiaTheme="minorEastAsia"/>
          <w:sz w:val="30"/>
          <w:szCs w:val="30"/>
        </w:rPr>
      </w:pPr>
    </w:p>
    <w:p>
      <w:pPr>
        <w:spacing w:line="580" w:lineRule="exact"/>
        <w:ind w:firstLine="600" w:firstLineChars="200"/>
        <w:rPr>
          <w:rFonts w:cs="DengXian-Regular" w:asciiTheme="minorEastAsia" w:hAnsiTheme="minorEastAsia" w:eastAsiaTheme="minorEastAsia"/>
          <w:sz w:val="30"/>
          <w:szCs w:val="30"/>
        </w:rPr>
      </w:pPr>
    </w:p>
    <w:p>
      <w:pPr>
        <w:spacing w:line="580" w:lineRule="exact"/>
        <w:rPr>
          <w:rFonts w:cs="DengXian-Regular" w:asciiTheme="minorEastAsia" w:hAnsiTheme="minorEastAsia" w:eastAsiaTheme="minorEastAsia"/>
          <w:sz w:val="30"/>
          <w:szCs w:val="30"/>
        </w:rPr>
      </w:pPr>
    </w:p>
    <w:p>
      <w:pPr>
        <w:keepNext/>
        <w:keepLines/>
        <w:spacing w:line="580" w:lineRule="exact"/>
        <w:outlineLvl w:val="1"/>
        <w:rPr>
          <w:rFonts w:hint="eastAsia" w:ascii="宋体" w:hAnsi="宋体" w:eastAsia="宋体" w:cs="宋体"/>
          <w:b/>
          <w:bCs/>
          <w:sz w:val="30"/>
          <w:szCs w:val="30"/>
        </w:rPr>
      </w:pP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（四）一般公共预算基本支出决算情况说明</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2019 年度财政拨款基本支出294.67万元，其中：人员经费 252.46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42.21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五、一般公共预算“三公” 经费支出决算情况说明</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本部门2019年度“三公”经费支出共计2.84万元，完成预算的100%,较预算增加（减少）0万元，增长（降低）0%；主要是与年初预算持平。较2018年度增加2.84万元，增长100%，主要是事业单位公车改革时转来一辆公务用车。具体情况如下：</w:t>
      </w:r>
    </w:p>
    <w:p>
      <w:pPr>
        <w:spacing w:line="580" w:lineRule="exact"/>
        <w:ind w:firstLine="602" w:firstLineChars="200"/>
        <w:rPr>
          <w:rFonts w:cs="DengXian-Regular" w:asciiTheme="minorEastAsia" w:hAnsiTheme="minorEastAsia" w:eastAsiaTheme="minorEastAsia"/>
          <w:sz w:val="30"/>
          <w:szCs w:val="30"/>
        </w:rPr>
      </w:pPr>
      <w:r>
        <w:rPr>
          <w:rFonts w:hint="eastAsia" w:ascii="宋体" w:hAnsi="宋体" w:eastAsia="宋体" w:cs="宋体"/>
          <w:b/>
          <w:bCs/>
          <w:sz w:val="30"/>
          <w:szCs w:val="30"/>
        </w:rPr>
        <w:t>（一）因公出国（境）费支出0万元。</w:t>
      </w:r>
      <w:r>
        <w:rPr>
          <w:rFonts w:hint="eastAsia" w:ascii="宋体" w:hAnsi="宋体" w:eastAsia="宋体" w:cs="宋体"/>
          <w:color w:val="333333"/>
          <w:kern w:val="2"/>
          <w:sz w:val="30"/>
          <w:szCs w:val="30"/>
          <w:lang w:val="en-US" w:eastAsia="zh-CN" w:bidi="ar-SA"/>
        </w:rPr>
        <w:t>本部门2019年度因公出国（境）团组0个、共0人。参加其他单位组织的因公出国（境）团组0个、共0人。无本单位组织的出国（境）团组。因公出国（境）费支出较预算增加（减少）0万元，增长（降低）0%,主要是未发生此类支出；较上年增加（减少）0万元，增长（降低）0%,主要是未发生此类支出。</w:t>
      </w:r>
    </w:p>
    <w:p>
      <w:pPr>
        <w:spacing w:line="580" w:lineRule="exact"/>
        <w:ind w:firstLine="602" w:firstLineChars="200"/>
        <w:rPr>
          <w:rFonts w:cs="DengXian-Regular" w:asciiTheme="minorEastAsia" w:hAnsiTheme="minorEastAsia" w:eastAsiaTheme="minorEastAsia"/>
          <w:sz w:val="30"/>
          <w:szCs w:val="30"/>
        </w:rPr>
      </w:pPr>
      <w:r>
        <w:rPr>
          <w:rFonts w:hint="eastAsia" w:ascii="宋体" w:hAnsi="宋体" w:eastAsia="宋体" w:cs="宋体"/>
          <w:b/>
          <w:bCs/>
          <w:sz w:val="30"/>
          <w:szCs w:val="30"/>
        </w:rPr>
        <w:t>（二）公务用车购置及运行维护费支出2.84万元。</w:t>
      </w:r>
      <w:r>
        <w:rPr>
          <w:rFonts w:hint="eastAsia" w:ascii="宋体" w:hAnsi="宋体" w:eastAsia="宋体" w:cs="宋体"/>
          <w:color w:val="333333"/>
          <w:kern w:val="2"/>
          <w:sz w:val="30"/>
          <w:szCs w:val="30"/>
          <w:lang w:val="en-US" w:eastAsia="zh-CN" w:bidi="ar-SA"/>
        </w:rPr>
        <w:t>本部门2019年度公务用车购置及运行维护费较预算减少0万元，降低0%,主要是与年初预算持平；较上年增加2.84万元，增长100%,主要是事业单位公车改革时转来一辆公务用车。</w:t>
      </w:r>
      <w:r>
        <w:rPr>
          <w:rFonts w:hint="eastAsia" w:ascii="宋体" w:hAnsi="宋体" w:eastAsia="宋体" w:cs="宋体"/>
          <w:b/>
          <w:bCs/>
          <w:sz w:val="30"/>
          <w:szCs w:val="30"/>
        </w:rPr>
        <w:t>其中：</w:t>
      </w:r>
    </w:p>
    <w:p>
      <w:pPr>
        <w:spacing w:line="580" w:lineRule="exact"/>
        <w:ind w:firstLine="602" w:firstLineChars="200"/>
        <w:rPr>
          <w:rFonts w:hint="eastAsia" w:ascii="宋体" w:hAnsi="宋体" w:eastAsia="宋体" w:cs="宋体"/>
          <w:color w:val="333333"/>
          <w:kern w:val="2"/>
          <w:sz w:val="30"/>
          <w:szCs w:val="30"/>
          <w:lang w:val="en-US" w:eastAsia="zh-CN" w:bidi="ar-SA"/>
        </w:rPr>
      </w:pPr>
      <w:r>
        <w:rPr>
          <w:rFonts w:hint="eastAsia" w:ascii="宋体" w:hAnsi="宋体" w:eastAsia="宋体" w:cs="宋体"/>
          <w:b/>
          <w:bCs/>
          <w:sz w:val="30"/>
          <w:szCs w:val="30"/>
        </w:rPr>
        <w:t>公务用车购置费：</w:t>
      </w:r>
      <w:r>
        <w:rPr>
          <w:rFonts w:hint="eastAsia" w:ascii="宋体" w:hAnsi="宋体" w:eastAsia="宋体" w:cs="宋体"/>
          <w:color w:val="333333"/>
          <w:kern w:val="2"/>
          <w:sz w:val="30"/>
          <w:szCs w:val="30"/>
          <w:lang w:val="en-US" w:eastAsia="zh-CN" w:bidi="ar-SA"/>
        </w:rPr>
        <w:t>本部门2019年度公务用车购置量0辆，发生“公务用车购置”经费支出0万元。公务用车购置费支出较预算增加（减少）0万元，增长（降低）0%,主要是未发生“公务用车购置”经费支出；较上年增加（减少）0万元，增长（降低）0%,主要是未发生“公务用车购置”经费支出。</w:t>
      </w:r>
    </w:p>
    <w:p>
      <w:pPr>
        <w:spacing w:line="580" w:lineRule="exact"/>
        <w:ind w:firstLine="602" w:firstLineChars="200"/>
        <w:rPr>
          <w:rFonts w:hint="eastAsia" w:ascii="宋体" w:hAnsi="宋体" w:eastAsia="宋体" w:cs="宋体"/>
          <w:color w:val="333333"/>
          <w:kern w:val="2"/>
          <w:sz w:val="30"/>
          <w:szCs w:val="30"/>
          <w:lang w:val="en-US" w:eastAsia="zh-CN" w:bidi="ar-SA"/>
        </w:rPr>
      </w:pPr>
      <w:r>
        <w:rPr>
          <w:rFonts w:hint="eastAsia" w:ascii="宋体" w:hAnsi="宋体" w:eastAsia="宋体" w:cs="宋体"/>
          <w:b/>
          <w:bCs/>
          <w:sz w:val="30"/>
          <w:szCs w:val="30"/>
        </w:rPr>
        <w:t>公务用车运行维护费</w:t>
      </w:r>
      <w:r>
        <w:rPr>
          <w:rFonts w:hint="eastAsia" w:cs="DengXian-Regular" w:asciiTheme="minorEastAsia" w:hAnsiTheme="minorEastAsia" w:eastAsiaTheme="minorEastAsia"/>
          <w:b/>
          <w:sz w:val="30"/>
          <w:szCs w:val="30"/>
        </w:rPr>
        <w:t>：</w:t>
      </w:r>
      <w:r>
        <w:rPr>
          <w:rFonts w:hint="eastAsia" w:ascii="宋体" w:hAnsi="宋体" w:eastAsia="宋体" w:cs="宋体"/>
          <w:color w:val="333333"/>
          <w:kern w:val="2"/>
          <w:sz w:val="30"/>
          <w:szCs w:val="30"/>
          <w:lang w:val="en-US" w:eastAsia="zh-CN" w:bidi="ar-SA"/>
        </w:rPr>
        <w:t>本部门2019年度单位公务用车保有量1辆。公车运行维护费支出较预算增加（减少）0万元，增长（降低）0%,主要是与年初预算持平；较上年增加2.84万元，增长100%，主要是事业单位公车改革时转来一辆公务用车。</w:t>
      </w:r>
    </w:p>
    <w:p>
      <w:pPr>
        <w:spacing w:line="580" w:lineRule="exact"/>
        <w:ind w:firstLine="602" w:firstLineChars="200"/>
        <w:rPr>
          <w:rFonts w:cs="DengXian-Regular" w:asciiTheme="minorEastAsia" w:hAnsiTheme="minorEastAsia" w:eastAsiaTheme="minorEastAsia"/>
          <w:sz w:val="30"/>
          <w:szCs w:val="30"/>
        </w:rPr>
      </w:pPr>
      <w:r>
        <w:rPr>
          <w:rFonts w:hint="eastAsia" w:ascii="宋体" w:hAnsi="宋体" w:eastAsia="宋体" w:cs="宋体"/>
          <w:b/>
          <w:bCs/>
          <w:sz w:val="30"/>
          <w:szCs w:val="30"/>
        </w:rPr>
        <w:t>（三）公务接待费支出0万元</w:t>
      </w:r>
      <w:r>
        <w:rPr>
          <w:rFonts w:hint="eastAsia" w:cs="DengXian-Bold" w:asciiTheme="minorEastAsia" w:hAnsiTheme="minorEastAsia" w:eastAsiaTheme="minorEastAsia"/>
          <w:b/>
          <w:bCs/>
          <w:sz w:val="30"/>
          <w:szCs w:val="30"/>
        </w:rPr>
        <w:t>。</w:t>
      </w:r>
      <w:r>
        <w:rPr>
          <w:rFonts w:hint="eastAsia" w:ascii="宋体" w:hAnsi="宋体" w:eastAsia="宋体" w:cs="宋体"/>
          <w:color w:val="333333"/>
          <w:kern w:val="2"/>
          <w:sz w:val="30"/>
          <w:szCs w:val="30"/>
          <w:lang w:val="en-US" w:eastAsia="zh-CN" w:bidi="ar-SA"/>
        </w:rPr>
        <w:t>本部门2019年度公务接待共0批次、0人次。公务接待费支出较预算减少0万元，降低0%,主要是未发生此类支出；较上年度减少0万元，降低0%,主要是未发生此类支出。</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六、预算绩效情况说明</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1. 预算绩效管理工作开展情况。</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根据预算绩效管理要求，本部门组织对2019年度一般公共预算项目支出全面开展绩效自评，涉及2019年春节联欢晚会经费、《今鄗新闻》出版发行费、关于县融媒体中心建设经费的请示、县级融媒体中心建设项目、设备购置及维修、县委宣传部县级融媒体中心、关于电视塔维修经费的请示等10个项目共计347.5万元。从评价情况来看，评价结果为优秀。</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2. 部门决算中项目绩效自评结果。</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本部门在今年部门决算公开中反映关于县融媒体中心建设经费的请示项目绩效自评结果。</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关于县融媒体中心建设经费的请示项目自评综述：根据年初设定的绩效目标，该项目绩效自评得分为90分，全年预算数为100万元，执行数为90.3万元，完成预算的98%。项目绩效目标完成情况：一是县融媒体中心建成后，有效促进基础宣传工作，更好的为党委政府中心工作服务，服务于群众的生产生活。二是更好的为党委政府中心工作服务，服务于群众的生产生活。发现的主要问题及原因：一是人才瓶颈与激励问题。县级融媒体中心建设需要技术和业务人才，运行同样需要人才。但目前县级媒体的人才严重匮乏，新人进不来、老人出不去、人才留不住。二是信息资源难以整合接入。根据试点经验，县级融媒体中心的基本业务模块是“新闻+政务+服务”。政务和服务都需要大量的数据。而各部门的数据资源因利益和技术因素等往往并不外接，特别是垂直管理的数据资源更是如此。县级台数据资源配置要解决的问题还有很多。下一步改进措施：一是完善融媒功能，在外宣上求突破。；二是打造传播矩阵，在覆盖面上求突破。</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关于县融媒体中心建设经费的请示项目绩效自评综述：为全面实施预算绩效管理，建立科学、合理的项目支出绩效评价管理体系，提高财政资源配置效率和使用效益，对2019年度县级融媒体中心建设项目进行绩效评估工作。通过查阅资料、实地调研等方式客观、公正地开展评价工作，对项目的投入、过程控制、产出、效果方面进行了充分论证。</w:t>
      </w:r>
    </w:p>
    <w:p>
      <w:pPr>
        <w:pStyle w:val="7"/>
        <w:ind w:firstLine="600" w:firstLineChars="200"/>
        <w:rPr>
          <w:rFonts w:cs="仿宋_GB2312" w:asciiTheme="minorEastAsia" w:hAnsiTheme="minorEastAsia" w:eastAsiaTheme="minorEastAsia"/>
          <w:sz w:val="30"/>
          <w:szCs w:val="30"/>
        </w:rPr>
      </w:pPr>
      <w:r>
        <w:rPr>
          <w:rFonts w:hint="eastAsia" w:ascii="宋体" w:hAnsi="宋体" w:eastAsia="宋体" w:cs="宋体"/>
          <w:color w:val="333333"/>
          <w:sz w:val="30"/>
          <w:szCs w:val="30"/>
        </w:rPr>
        <w:t>该项目最终绩效评价得分90分，我们认为该项目总体绩效评价等级为“优秀”</w:t>
      </w:r>
      <w:r>
        <w:rPr>
          <w:rFonts w:hint="eastAsia" w:cs="仿宋_GB2312" w:asciiTheme="minorEastAsia" w:hAnsiTheme="minorEastAsia" w:eastAsiaTheme="minorEastAsia"/>
          <w:sz w:val="30"/>
          <w:szCs w:val="30"/>
        </w:rPr>
        <w:t>。</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3.财政评价项目绩效评价结果</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无</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七、其他重要事项的说明</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（一）机关运行经费情况</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本部门2019年度机关运行经费支出0万元，比2018年度增加(减少)0万元，增长（降低）0%。主要原因是无此类支出。</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（二）政府采购情况</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本部门2019年度政府采购支出总额458.8万元，从采购类型来看，政府采购货物支出458.8万元、政府采购工程支出0万元、政府采购服务支出0万元。授予中小企业合同金0万元，占政府采购支出总额的0%，其中授予小微企业合同金额0万元，占政府采购支出总额的 0%。</w:t>
      </w:r>
    </w:p>
    <w:p>
      <w:pPr>
        <w:keepNext/>
        <w:keepLines/>
        <w:spacing w:line="580" w:lineRule="exact"/>
        <w:outlineLvl w:val="1"/>
        <w:rPr>
          <w:rFonts w:hint="eastAsia" w:ascii="宋体" w:hAnsi="宋体" w:eastAsia="宋体" w:cs="宋体"/>
          <w:b/>
          <w:bCs/>
          <w:sz w:val="30"/>
          <w:szCs w:val="30"/>
        </w:rPr>
      </w:pPr>
      <w:r>
        <w:rPr>
          <w:rFonts w:hint="eastAsia" w:ascii="宋体" w:hAnsi="宋体" w:eastAsia="宋体" w:cs="宋体"/>
          <w:b/>
          <w:bCs/>
          <w:sz w:val="30"/>
          <w:szCs w:val="30"/>
        </w:rPr>
        <w:t>（三）国有资产占用情况</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截至2019年12月31日，本部门共有车辆1辆，比上年增加1辆，主要是事业单位公车改革时转来一辆公务用车。其中，副部（省）级及以上领导用车0辆，主要领导干部用车0辆，机要通信用车0辆，应急保障用车0辆，执法执勤用车0辆，特种专业技术用车0辆，离退休干部用车0辆，其他用车1辆，其他用车主要是无其他用车；</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单位价值50万元以上通用设备0台（套），比上年增加（减少）0套，主要是与上年持平 ，单位价值100万元以上专用设备0台（套）比上年增加（减少）0套，主要是与上年持平。</w:t>
      </w:r>
    </w:p>
    <w:p>
      <w:pPr>
        <w:keepNext/>
        <w:keepLines/>
        <w:spacing w:line="580" w:lineRule="exact"/>
        <w:ind w:firstLine="602" w:firstLineChars="200"/>
        <w:outlineLvl w:val="2"/>
        <w:rPr>
          <w:rFonts w:cs="DengXian-Bold" w:asciiTheme="minorEastAsia" w:hAnsiTheme="minorEastAsia" w:eastAsiaTheme="minorEastAsia"/>
          <w:b/>
          <w:bCs/>
          <w:sz w:val="30"/>
          <w:szCs w:val="30"/>
        </w:rPr>
      </w:pPr>
      <w:r>
        <w:rPr>
          <w:rFonts w:hint="eastAsia" w:ascii="宋体" w:hAnsi="宋体" w:eastAsia="宋体" w:cs="宋体"/>
          <w:b/>
          <w:bCs/>
          <w:sz w:val="30"/>
          <w:szCs w:val="30"/>
        </w:rPr>
        <w:t>（四）其他需要说明的情况</w:t>
      </w:r>
    </w:p>
    <w:p>
      <w:pPr>
        <w:pStyle w:val="7"/>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1. 本部门2019年度政府性基金预算财政拨款无收支及结转结余情况，国有资本经营预算财政拨款无收支及结转结余情况，故公开08表、公开09表，以空表列示。</w:t>
      </w:r>
    </w:p>
    <w:p>
      <w:pPr>
        <w:pStyle w:val="7"/>
        <w:ind w:firstLine="600" w:firstLineChars="200"/>
        <w:rPr>
          <w:rFonts w:hint="eastAsia" w:ascii="宋体" w:hAnsi="宋体" w:eastAsia="宋体" w:cs="宋体"/>
          <w:color w:val="333333"/>
          <w:sz w:val="30"/>
          <w:szCs w:val="30"/>
        </w:rPr>
        <w:sectPr>
          <w:type w:val="continuous"/>
          <w:pgSz w:w="11906" w:h="16838"/>
          <w:pgMar w:top="2098" w:right="1474" w:bottom="1984" w:left="1588" w:header="851" w:footer="992" w:gutter="0"/>
          <w:pgNumType w:fmt="numberInDash"/>
          <w:cols w:space="0" w:num="1"/>
          <w:docGrid w:type="lines" w:linePitch="312" w:charSpace="0"/>
        </w:sectPr>
      </w:pPr>
      <w:r>
        <w:rPr>
          <w:rFonts w:hint="eastAsia" w:ascii="宋体" w:hAnsi="宋体" w:eastAsia="宋体" w:cs="宋体"/>
          <w:color w:val="333333"/>
          <w:sz w:val="30"/>
          <w:szCs w:val="30"/>
        </w:rPr>
        <w:t>2. 由于决算公开表格中金额数值应当保留两位小数，公开数据为四舍五入计算结果，个别数据合计项与分项之和存在小数点后差额，特此说明。</w:t>
      </w: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8" o:spid="_x0000_s1028"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color2="#FFFFFF" focussize="0,0"/>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jc w:val="center"/>
        <w:rPr>
          <w:rFonts w:hint="eastAsia" w:ascii="黑体" w:hAnsi="黑体" w:eastAsia="黑体" w:cs="黑体"/>
          <w:color w:val="000000" w:themeColor="text1"/>
          <w:sz w:val="44"/>
          <w:szCs w:val="44"/>
          <w:lang w:val="en-US" w:eastAsia="zh-CN"/>
        </w:rPr>
      </w:pPr>
      <w:r>
        <w:rPr>
          <w:rFonts w:hint="eastAsia" w:ascii="黑体" w:hAnsi="黑体" w:eastAsia="黑体" w:cs="黑体"/>
          <w:color w:val="000000" w:themeColor="text1"/>
          <w:sz w:val="44"/>
          <w:szCs w:val="44"/>
          <w:lang w:val="en-US" w:eastAsia="zh-CN"/>
        </w:rPr>
        <w:t xml:space="preserve">  </w:t>
      </w:r>
    </w:p>
    <w:p>
      <w:pPr>
        <w:jc w:val="center"/>
        <w:rPr>
          <w:rFonts w:hint="eastAsia" w:ascii="黑体" w:hAnsi="黑体" w:eastAsia="黑体" w:cs="黑体"/>
          <w:color w:val="000000" w:themeColor="text1"/>
          <w:sz w:val="44"/>
          <w:szCs w:val="44"/>
          <w:lang w:val="en-US" w:eastAsia="zh-CN"/>
        </w:rPr>
      </w:pPr>
    </w:p>
    <w:p>
      <w:pPr>
        <w:jc w:val="center"/>
        <w:rPr>
          <w:rFonts w:hint="eastAsia" w:ascii="黑体" w:hAnsi="黑体" w:eastAsia="黑体" w:cs="黑体"/>
          <w:color w:val="000000" w:themeColor="text1"/>
          <w:sz w:val="44"/>
          <w:szCs w:val="44"/>
          <w:lang w:val="en-US" w:eastAsia="zh-CN"/>
        </w:rPr>
      </w:pPr>
    </w:p>
    <w:p>
      <w:pPr>
        <w:jc w:val="both"/>
        <w:rPr>
          <w:rFonts w:hint="eastAsia" w:ascii="黑体" w:hAnsi="黑体" w:eastAsia="黑体" w:cs="黑体"/>
          <w:color w:val="000000" w:themeColor="text1"/>
          <w:sz w:val="44"/>
          <w:szCs w:val="44"/>
          <w:lang w:val="en-US" w:eastAsia="zh-CN"/>
        </w:rPr>
      </w:pPr>
    </w:p>
    <w:p>
      <w:pPr>
        <w:ind w:firstLine="880" w:firstLineChars="200"/>
        <w:jc w:val="both"/>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第四部分 2019年度部门决算报表</w:t>
      </w:r>
    </w:p>
    <w:p>
      <w:pPr>
        <w:tabs>
          <w:tab w:val="left" w:pos="235"/>
        </w:tabs>
        <w:jc w:val="left"/>
      </w:pP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本部门应公开</w:t>
      </w:r>
      <w:r>
        <w:rPr>
          <w:rFonts w:hint="eastAsia" w:ascii="仿宋" w:hAnsi="仿宋" w:eastAsia="仿宋"/>
          <w:sz w:val="32"/>
          <w:szCs w:val="32"/>
          <w:highlight w:val="none"/>
          <w:lang w:val="en-US" w:eastAsia="zh-CN"/>
        </w:rPr>
        <w:t>9</w:t>
      </w:r>
      <w:r>
        <w:rPr>
          <w:rFonts w:hint="eastAsia" w:ascii="仿宋" w:hAnsi="仿宋" w:eastAsia="仿宋"/>
          <w:sz w:val="32"/>
          <w:szCs w:val="32"/>
          <w:highlight w:val="none"/>
        </w:rPr>
        <w:t>张决算表格，即：</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一、收入支出决算总表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01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二、收入决算表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02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三、支出决算表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03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四、财政拨款收入支出决算总表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04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五、</w:t>
      </w:r>
      <w:r>
        <w:rPr>
          <w:rFonts w:eastAsia="仿宋_GB2312"/>
          <w:sz w:val="32"/>
          <w:szCs w:val="32"/>
        </w:rPr>
        <w:t>一般公共预算财政拨款支出决算表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05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六、</w:t>
      </w:r>
      <w:r>
        <w:rPr>
          <w:rFonts w:eastAsia="仿宋_GB2312"/>
          <w:sz w:val="32"/>
          <w:szCs w:val="32"/>
        </w:rPr>
        <w:t>一般公共预算财政拨款基本支出决算表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06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07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darkCyan"/>
        </w:rPr>
      </w:pPr>
      <w:r>
        <w:rPr>
          <w:rFonts w:hint="eastAsia" w:ascii="仿宋" w:hAnsi="仿宋" w:eastAsia="仿宋"/>
          <w:sz w:val="32"/>
          <w:szCs w:val="32"/>
          <w:highlight w:val="none"/>
        </w:rPr>
        <w:t>八、</w:t>
      </w:r>
      <w:r>
        <w:rPr>
          <w:rFonts w:eastAsia="仿宋_GB2312"/>
          <w:sz w:val="32"/>
          <w:szCs w:val="32"/>
        </w:rPr>
        <w:t>政府性基金预算财政拨款收入支出决算表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08</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09 </w:t>
      </w:r>
      <w:r>
        <w:rPr>
          <w:rFonts w:hint="eastAsia" w:ascii="仿宋" w:hAnsi="仿宋" w:eastAsia="仿宋" w:cs="宋体"/>
          <w:kern w:val="0"/>
          <w:sz w:val="32"/>
          <w:szCs w:val="32"/>
          <w:highlight w:val="none"/>
        </w:rPr>
        <w:t>表）</w:t>
      </w:r>
    </w:p>
    <w:p>
      <w:pPr>
        <w:autoSpaceDE w:val="0"/>
        <w:autoSpaceDN w:val="0"/>
        <w:spacing w:after="0" w:line="240" w:lineRule="auto"/>
        <w:ind w:firstLine="640" w:firstLineChars="200"/>
        <w:rPr>
          <w:rFonts w:ascii="仿宋" w:hAnsi="仿宋" w:eastAsia="仿宋" w:cs="宋体"/>
          <w:kern w:val="0"/>
          <w:sz w:val="32"/>
          <w:szCs w:val="32"/>
          <w:highlight w:val="none"/>
        </w:rPr>
      </w:pPr>
      <w:r>
        <w:rPr>
          <w:rFonts w:hint="eastAsia" w:ascii="仿宋" w:hAnsi="仿宋" w:eastAsia="仿宋" w:cs="宋体"/>
          <w:kern w:val="0"/>
          <w:sz w:val="32"/>
          <w:szCs w:val="32"/>
          <w:highlight w:val="none"/>
        </w:rPr>
        <w:t>详见附表：《高邑县</w:t>
      </w:r>
      <w:r>
        <w:rPr>
          <w:rFonts w:hint="eastAsia" w:ascii="仿宋" w:hAnsi="仿宋" w:eastAsia="仿宋" w:cs="宋体"/>
          <w:kern w:val="0"/>
          <w:sz w:val="32"/>
          <w:szCs w:val="32"/>
          <w:highlight w:val="none"/>
          <w:lang w:eastAsia="zh-CN"/>
        </w:rPr>
        <w:t>广播电视台</w:t>
      </w:r>
      <w:r>
        <w:rPr>
          <w:rFonts w:ascii="仿宋" w:hAnsi="仿宋" w:eastAsia="仿宋" w:cs="宋体"/>
          <w:kern w:val="0"/>
          <w:sz w:val="32"/>
          <w:szCs w:val="32"/>
          <w:highlight w:val="none"/>
        </w:rPr>
        <w:t>201</w:t>
      </w:r>
      <w:r>
        <w:rPr>
          <w:rFonts w:hint="eastAsia" w:ascii="仿宋" w:hAnsi="仿宋" w:eastAsia="仿宋" w:cs="宋体"/>
          <w:kern w:val="0"/>
          <w:sz w:val="32"/>
          <w:szCs w:val="32"/>
          <w:highlight w:val="none"/>
          <w:lang w:val="en-US" w:eastAsia="zh-CN"/>
        </w:rPr>
        <w:t>9</w:t>
      </w:r>
      <w:r>
        <w:rPr>
          <w:rFonts w:hint="eastAsia" w:ascii="仿宋" w:hAnsi="仿宋" w:eastAsia="仿宋" w:cs="宋体"/>
          <w:kern w:val="0"/>
          <w:sz w:val="32"/>
          <w:szCs w:val="32"/>
          <w:highlight w:val="none"/>
        </w:rPr>
        <w:t>年度部门决算公开表》</w:t>
      </w: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p>
    <w:p>
      <w:pPr>
        <w:tabs>
          <w:tab w:val="left" w:pos="886"/>
        </w:tabs>
        <w:jc w:val="left"/>
      </w:pPr>
    </w:p>
    <w:p>
      <w:pPr>
        <w:jc w:val="left"/>
      </w:pPr>
    </w:p>
    <w:p>
      <w:pPr>
        <w:jc w:val="left"/>
      </w:pPr>
    </w:p>
    <w:p>
      <w:r>
        <w:br w:type="page"/>
      </w:r>
    </w:p>
    <w:p>
      <w:r>
        <w:br w:type="page"/>
      </w:r>
    </w:p>
    <w:p>
      <w:r>
        <w:br w:type="page"/>
      </w:r>
    </w:p>
    <w:p>
      <w:r>
        <w:br w:type="page"/>
      </w:r>
    </w:p>
    <w:p>
      <w:r>
        <w:br w:type="page"/>
      </w:r>
    </w:p>
    <w:p>
      <w:r>
        <w:tab/>
      </w:r>
      <w:r>
        <w:tab/>
      </w:r>
      <w:r>
        <w:tab/>
      </w:r>
      <w:r>
        <w:tab/>
      </w:r>
      <w:r>
        <w:tab/>
      </w:r>
      <w:r>
        <w:br w:type="page"/>
      </w:r>
    </w:p>
    <w:p>
      <w:r>
        <w:br w:type="page"/>
      </w:r>
    </w:p>
    <w:p>
      <w:r>
        <w:br w:type="page"/>
      </w:r>
    </w:p>
    <w:p>
      <w:r>
        <w:pict>
          <v:rect id="_x0000_s1027" o:spid="_x0000_s1027" o:spt="1" style="position:absolute;left:0pt;margin-left:-70.5pt;margin-top:-85.25pt;height:841.15pt;width:595.1pt;z-index:25169100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Cambria">
    <w:panose1 w:val="02040503050406030204"/>
    <w:charset w:val="00"/>
    <w:family w:val="roman"/>
    <w:pitch w:val="default"/>
    <w:sig w:usb0="E00002FF" w:usb1="400004FF" w:usb2="00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- 2 -</w:t>
                </w:r>
                <w:r>
                  <w:rPr>
                    <w:rFonts w:ascii="Times New Roman" w:hAnsi="Times New Roman" w:cs="Times New Roman"/>
                    <w:sz w:val="24"/>
                    <w:szCs w:val="24"/>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- 1 -</w:t>
                </w:r>
                <w:r>
                  <w:rPr>
                    <w:rFonts w:ascii="Times New Roman" w:hAnsi="Times New Roman" w:cs="Times New Roman"/>
                    <w:sz w:val="24"/>
                    <w:szCs w:val="24"/>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- 25 -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- 34 -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type="segments" o:connectlocs="608,0;2385,8;2385,1107;0,1107;608,0" o:connectangles="0,0,0,0,0"/>
            <v:fill on="t" focussize="0,0"/>
            <v:stroke on="f" weight="1pt" joinstyle="miter"/>
            <v:imagedata o:title=""/>
            <o:lock v:ext="edit"/>
          </v:shape>
        </v:group>
      </w:pict>
    </w:r>
    <w:r>
      <w:pict>
        <v:shape id="_x0000_s2064" o:spid="_x0000_s2064"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p>
              <w:p>
                <w:pPr>
                  <w:rPr>
                    <w:rFonts w:ascii="微软雅黑" w:hAnsi="微软雅黑" w:eastAsia="微软雅黑" w:cs="微软雅黑"/>
                    <w:b/>
                    <w:bCs/>
                    <w:sz w:val="32"/>
                    <w:szCs w:val="40"/>
                  </w:rPr>
                </w:pPr>
              </w:p>
            </w:txbxContent>
          </v:textbox>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joinstyle="miter"/>
            <v:imagedata o:title=""/>
            <o:lock v:ext="edit"/>
          </v:shap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A4704"/>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21CB"/>
    <w:rsid w:val="00F665F4"/>
    <w:rsid w:val="00FD225F"/>
    <w:rsid w:val="01C65115"/>
    <w:rsid w:val="02D27CD1"/>
    <w:rsid w:val="03D60959"/>
    <w:rsid w:val="040731CC"/>
    <w:rsid w:val="04FB5CFA"/>
    <w:rsid w:val="051B0009"/>
    <w:rsid w:val="05B00A30"/>
    <w:rsid w:val="06DE0E3C"/>
    <w:rsid w:val="06EC0708"/>
    <w:rsid w:val="08321AC4"/>
    <w:rsid w:val="0B011416"/>
    <w:rsid w:val="0DCB5D5D"/>
    <w:rsid w:val="0E504E3C"/>
    <w:rsid w:val="0F73553A"/>
    <w:rsid w:val="11117FCE"/>
    <w:rsid w:val="13BB62F7"/>
    <w:rsid w:val="18421A1C"/>
    <w:rsid w:val="199A39F0"/>
    <w:rsid w:val="19B42EE2"/>
    <w:rsid w:val="1CDB5E57"/>
    <w:rsid w:val="1E3D13F1"/>
    <w:rsid w:val="1E862A34"/>
    <w:rsid w:val="1F8A42AF"/>
    <w:rsid w:val="203A5B90"/>
    <w:rsid w:val="21E86D28"/>
    <w:rsid w:val="22C44133"/>
    <w:rsid w:val="27A82AA9"/>
    <w:rsid w:val="27B05796"/>
    <w:rsid w:val="29A27736"/>
    <w:rsid w:val="2CFB1087"/>
    <w:rsid w:val="2D494A1A"/>
    <w:rsid w:val="2FBE5D9C"/>
    <w:rsid w:val="30095D25"/>
    <w:rsid w:val="30804C66"/>
    <w:rsid w:val="308D0789"/>
    <w:rsid w:val="31117F88"/>
    <w:rsid w:val="31C2036A"/>
    <w:rsid w:val="320D02A5"/>
    <w:rsid w:val="348E566F"/>
    <w:rsid w:val="39324550"/>
    <w:rsid w:val="39FE1408"/>
    <w:rsid w:val="3A226944"/>
    <w:rsid w:val="3A747A30"/>
    <w:rsid w:val="3AEE6A48"/>
    <w:rsid w:val="3B8E42CE"/>
    <w:rsid w:val="3C1620AA"/>
    <w:rsid w:val="3D8801C2"/>
    <w:rsid w:val="3D8F080F"/>
    <w:rsid w:val="3EAB56E5"/>
    <w:rsid w:val="411C60DE"/>
    <w:rsid w:val="421C6CA8"/>
    <w:rsid w:val="42256BEB"/>
    <w:rsid w:val="44954838"/>
    <w:rsid w:val="44CE1FA4"/>
    <w:rsid w:val="486365E1"/>
    <w:rsid w:val="487F73ED"/>
    <w:rsid w:val="4A347EAE"/>
    <w:rsid w:val="4CB905B6"/>
    <w:rsid w:val="4F58666A"/>
    <w:rsid w:val="52600405"/>
    <w:rsid w:val="529B4319"/>
    <w:rsid w:val="52A31626"/>
    <w:rsid w:val="532E3F22"/>
    <w:rsid w:val="547E1A01"/>
    <w:rsid w:val="54CA6A07"/>
    <w:rsid w:val="55B2123D"/>
    <w:rsid w:val="55DD0F8B"/>
    <w:rsid w:val="568549B4"/>
    <w:rsid w:val="57773DD6"/>
    <w:rsid w:val="578B79AB"/>
    <w:rsid w:val="58A003F1"/>
    <w:rsid w:val="5B90684B"/>
    <w:rsid w:val="5CCD3FD5"/>
    <w:rsid w:val="5D235788"/>
    <w:rsid w:val="5E4567A1"/>
    <w:rsid w:val="5EA2098E"/>
    <w:rsid w:val="61177E93"/>
    <w:rsid w:val="61FA5F9D"/>
    <w:rsid w:val="62C42E97"/>
    <w:rsid w:val="64305065"/>
    <w:rsid w:val="64CD6910"/>
    <w:rsid w:val="6746391B"/>
    <w:rsid w:val="6789158D"/>
    <w:rsid w:val="67D81BA4"/>
    <w:rsid w:val="68D42576"/>
    <w:rsid w:val="6A9A23E2"/>
    <w:rsid w:val="6AAF1C96"/>
    <w:rsid w:val="6C240941"/>
    <w:rsid w:val="6CCA6BF9"/>
    <w:rsid w:val="6FEB0198"/>
    <w:rsid w:val="71E513D8"/>
    <w:rsid w:val="75681757"/>
    <w:rsid w:val="75A346A8"/>
    <w:rsid w:val="75D744B3"/>
    <w:rsid w:val="76204ABC"/>
    <w:rsid w:val="79132C61"/>
    <w:rsid w:val="797C3E73"/>
    <w:rsid w:val="79AF55E4"/>
    <w:rsid w:val="79B9382C"/>
    <w:rsid w:val="7A7C4DED"/>
    <w:rsid w:val="7B043B76"/>
    <w:rsid w:val="7C041A6A"/>
    <w:rsid w:val="7E327570"/>
    <w:rsid w:val="7F0376D7"/>
    <w:rsid w:val="7F1117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semiHidden/>
    <w:unhideWhenUsed/>
    <w:qFormat/>
    <w:uiPriority w:val="99"/>
    <w:pPr>
      <w:keepNext/>
      <w:keepLines/>
      <w:widowControl w:val="0"/>
      <w:adjustRightInd/>
      <w:snapToGrid/>
      <w:spacing w:before="260" w:after="260" w:line="415" w:lineRule="auto"/>
      <w:jc w:val="both"/>
      <w:outlineLvl w:val="1"/>
    </w:pPr>
    <w:rPr>
      <w:rFonts w:ascii="Calibri" w:hAnsi="Calibri" w:eastAsia="宋体" w:cs="Times New Roman"/>
      <w:b/>
      <w:bCs/>
      <w:kern w:val="2"/>
      <w:sz w:val="32"/>
      <w:szCs w:val="32"/>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Normal (Web)"/>
    <w:basedOn w:val="1"/>
    <w:semiHidden/>
    <w:unhideWhenUsed/>
    <w:qFormat/>
    <w:uiPriority w:val="99"/>
    <w:pPr>
      <w:widowControl w:val="0"/>
      <w:adjustRightInd/>
      <w:snapToGrid/>
      <w:spacing w:after="0" w:line="480" w:lineRule="auto"/>
    </w:pPr>
    <w:rPr>
      <w:rFonts w:ascii="Times New Roman" w:hAnsi="Times New Roman" w:eastAsia="宋体" w:cs="Times New Roman"/>
      <w:sz w:val="24"/>
      <w:szCs w:val="24"/>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1">
    <w:name w:val="页眉 Char"/>
    <w:basedOn w:val="10"/>
    <w:link w:val="6"/>
    <w:qFormat/>
    <w:uiPriority w:val="99"/>
    <w:rPr>
      <w:rFonts w:asciiTheme="minorHAnsi" w:hAnsiTheme="minorHAnsi" w:eastAsiaTheme="minorEastAsia"/>
      <w:sz w:val="18"/>
      <w:szCs w:val="18"/>
    </w:rPr>
  </w:style>
  <w:style w:type="character" w:customStyle="1" w:styleId="12">
    <w:name w:val="页脚 Char"/>
    <w:basedOn w:val="10"/>
    <w:link w:val="5"/>
    <w:qFormat/>
    <w:uiPriority w:val="99"/>
    <w:rPr>
      <w:sz w:val="18"/>
      <w:szCs w:val="18"/>
    </w:rPr>
  </w:style>
  <w:style w:type="paragraph" w:customStyle="1" w:styleId="13">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customXml" Target="../customXml/item1.xml"/><Relationship Id="rId30" Type="http://schemas.openxmlformats.org/officeDocument/2006/relationships/chart" Target="charts/chart3.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2019年本年收入</c:v>
                </c:pt>
              </c:strCache>
            </c:strRef>
          </c:tx>
          <c:explosion val="0"/>
          <c:dPt>
            <c:idx val="0"/>
            <c:bubble3D val="0"/>
          </c:dPt>
          <c:dPt>
            <c:idx val="1"/>
            <c:bubble3D val="0"/>
          </c:dPt>
          <c:dPt>
            <c:idx val="2"/>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Sheet1!$A$2:$A$4</c:f>
              <c:strCache>
                <c:ptCount val="3"/>
                <c:pt idx="0">
                  <c:v>财政拨款收入</c:v>
                </c:pt>
                <c:pt idx="1">
                  <c:v>上级补助收入</c:v>
                </c:pt>
                <c:pt idx="2">
                  <c:v>其他收入</c:v>
                </c:pt>
              </c:strCache>
            </c:strRef>
          </c:cat>
          <c:val>
            <c:numRef>
              <c:f>Sheet1!$B$2:$B$4</c:f>
              <c:numCache>
                <c:formatCode>0%</c:formatCode>
                <c:ptCount val="3"/>
                <c:pt idx="0">
                  <c:v>0.988</c:v>
                </c:pt>
                <c:pt idx="1">
                  <c:v>0.01</c:v>
                </c:pt>
                <c:pt idx="2" c:formatCode="0.00%">
                  <c:v>0.002</c:v>
                </c:pt>
              </c:numCache>
            </c:numRef>
          </c:val>
        </c:ser>
        <c:dLbls>
          <c:showLegendKey val="0"/>
          <c:showVal val="0"/>
          <c:showCatName val="0"/>
          <c:showSerName val="0"/>
          <c:showPercent val="1"/>
          <c:showBubbleSize val="0"/>
          <c:showLeaderLines val="1"/>
        </c:dLbls>
        <c:firstSliceAng val="15"/>
      </c:pieChart>
      <c:spPr>
        <a:noFill/>
        <a:ln>
          <a:noFill/>
        </a:ln>
        <a:effectLst/>
      </c:spPr>
    </c:plotArea>
    <c:legend>
      <c:legendPos val="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en-US" altLang="zh-CN" sz="1100"/>
              <a:t>2019</a:t>
            </a:r>
            <a:r>
              <a:rPr lang="zh-CN" altLang="en-US" sz="1100"/>
              <a:t>年本年支出</a:t>
            </a:r>
            <a:endParaRPr lang="zh-CN" altLang="en-US" sz="1100"/>
          </a:p>
        </c:rich>
      </c:tx>
      <c:layout/>
      <c:overlay val="0"/>
    </c:title>
    <c:autoTitleDeleted val="0"/>
    <c:plotArea>
      <c:layout/>
      <c:pieChart>
        <c:varyColors val="1"/>
        <c:ser>
          <c:idx val="0"/>
          <c:order val="0"/>
          <c:tx>
            <c:strRef>
              <c:f>Sheet1!$B$1</c:f>
              <c:strCache>
                <c:ptCount val="1"/>
                <c:pt idx="0">
                  <c:v>2019年本年支出</c:v>
                </c:pt>
              </c:strCache>
            </c:strRef>
          </c:tx>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0%</c:formatCode>
                <c:ptCount val="2"/>
                <c:pt idx="0">
                  <c:v>0.620000000000001</c:v>
                </c:pt>
                <c:pt idx="1">
                  <c:v>0.38</c:v>
                </c:pt>
              </c:numCache>
            </c:numRef>
          </c:val>
        </c:ser>
        <c:dLbls>
          <c:showLegendKey val="0"/>
          <c:showVal val="0"/>
          <c:showCatName val="0"/>
          <c:showSerName val="0"/>
          <c:showPercent val="1"/>
          <c:showBubbleSize val="0"/>
          <c:showLeaderLines val="1"/>
        </c:dLbls>
        <c:firstSliceAng val="15"/>
      </c:pieChart>
      <c:spPr>
        <a:noFill/>
        <a:ln>
          <a:noFill/>
        </a:ln>
        <a:effectLst/>
      </c:spPr>
    </c:plotArea>
    <c:legend>
      <c:legendPos val="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文化旅游与传媒支出</c:v>
                </c:pt>
                <c:pt idx="1">
                  <c:v>社会保障和就业支出</c:v>
                </c:pt>
                <c:pt idx="2">
                  <c:v>卫生健康支出</c:v>
                </c:pt>
                <c:pt idx="3">
                  <c:v>住房保障支出</c:v>
                </c:pt>
              </c:strCache>
            </c:strRef>
          </c:cat>
          <c:val>
            <c:numRef>
              <c:f>Sheet1!$B$2:$B$5</c:f>
              <c:numCache>
                <c:formatCode>General</c:formatCode>
                <c:ptCount val="4"/>
                <c:pt idx="0">
                  <c:v>94</c:v>
                </c:pt>
                <c:pt idx="1">
                  <c:v>2.8</c:v>
                </c:pt>
                <c:pt idx="2">
                  <c:v>0.1</c:v>
                </c:pt>
                <c:pt idx="3">
                  <c:v>2.2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43"/>
    <customShpInfo spid="_x0000_s1044"/>
    <customShpInfo spid="_x0000_s104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41B3096-7DE1-4D20-A7EB-44A711E200EE}">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38</Pages>
  <Words>1224</Words>
  <Characters>6979</Characters>
  <Lines>58</Lines>
  <Paragraphs>16</Paragraphs>
  <TotalTime>0</TotalTime>
  <ScaleCrop>false</ScaleCrop>
  <LinksUpToDate>false</LinksUpToDate>
  <CharactersWithSpaces>8187</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2021-05-23T12:02:00Z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AD11FC9AD7134574AE6834FC5C2E60DB</vt:lpwstr>
  </property>
</Properties>
</file>