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none"/>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高邑县医疗保障局</w:t>
      </w:r>
    </w:p>
    <w:p>
      <w:pPr>
        <w:snapToGrid w:val="0"/>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31"/>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widowControl/>
        <w:spacing w:after="160" w:line="580" w:lineRule="exact"/>
        <w:ind w:firstLine="640" w:firstLineChars="200"/>
        <w:rPr>
          <w:rFonts w:ascii="Times New Roman" w:hAnsi="Times New Roman" w:eastAsia="黑体" w:cs="Times New Roman"/>
          <w:sz w:val="32"/>
          <w:szCs w:val="32"/>
        </w:rPr>
      </w:pPr>
    </w:p>
    <w:p>
      <w:pPr>
        <w:pStyle w:val="4"/>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（一）贯彻落实省、市关于城镇职工和城乡居民医疗保险、生育保险、长期护理保险、医疗救助等医疗保障地方性法规、政府规章以及政策、制度、规划和标准。拟定全县具体医疗保障政策，并组织实施。</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（二）拟订全县医疗保障基金监督管理办法，建立健全医疗保障基金安全防控机制，建设维护网络信息系统和智能监控平台，推进医疗保障基金支付方式改革，并组织实施。</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（三）贯彻落实全市城镇职工和城乡居民参保筹资和保障待遇政策，统筹城乡医疗保障政策标准，落实全市长期护理保险制度、政策标准。</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（四）贯彻落实全市城乡统一的药品、医用耗材、医疗服务项目、医疗服务设施等医保支付标准。</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五）贯彻落实全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（六）制定全县药品、医用耗材的招标采购政策并监督实施，指导药品、医用耗材招标采购平台建设。</w:t>
      </w: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spacing w:line="500" w:lineRule="exact"/>
        <w:ind w:firstLine="640" w:firstLineChars="200"/>
        <w:jc w:val="left"/>
        <w:rPr>
          <w:rFonts w:ascii="仿宋_GB2312" w:hAnsi="黑体" w:eastAsia="仿宋_GB2312"/>
          <w:sz w:val="32"/>
          <w:szCs w:val="32"/>
        </w:rPr>
      </w:pPr>
      <w:r>
        <w:rPr>
          <w:rFonts w:hint="eastAsia" w:ascii="仿宋_GB2312" w:hAnsi="黑体" w:eastAsia="仿宋_GB2312"/>
          <w:sz w:val="32"/>
          <w:szCs w:val="32"/>
        </w:rPr>
        <w:t>（八）负责医疗保障经办管理、公共服务体系和信息化建设。贯彻落实异地就医管理和费用结算政策、医疗保障关系转移接续制度。</w:t>
      </w:r>
    </w:p>
    <w:p>
      <w:pPr>
        <w:spacing w:line="500" w:lineRule="exact"/>
        <w:ind w:firstLine="640" w:firstLineChars="200"/>
        <w:jc w:val="left"/>
        <w:rPr>
          <w:rFonts w:ascii="Times New Roman" w:hAnsi="宋体" w:cs="宋体"/>
          <w:sz w:val="28"/>
        </w:rPr>
      </w:pPr>
      <w:r>
        <w:rPr>
          <w:rFonts w:hint="eastAsia" w:ascii="仿宋_GB2312" w:hAnsi="黑体" w:eastAsia="仿宋_GB2312"/>
          <w:sz w:val="32"/>
          <w:szCs w:val="32"/>
        </w:rPr>
        <w:t>（九）完成县委、县政府交办的其他任务。</w:t>
      </w:r>
      <w:r>
        <w:rPr>
          <w:rFonts w:ascii="Times New Roman" w:hAnsi="宋体" w:cs="宋体"/>
          <w:sz w:val="28"/>
        </w:rPr>
        <w:tab/>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w:t>
      </w:r>
      <w:r>
        <w:rPr>
          <w:rFonts w:ascii="仿宋_GB2312" w:hAnsi="Calibri" w:eastAsia="仿宋_GB2312" w:cs="ArialUnicodeMS"/>
          <w:kern w:val="0"/>
          <w:sz w:val="32"/>
          <w:szCs w:val="32"/>
        </w:rPr>
        <w:t xml:space="preserve">2019 </w:t>
      </w:r>
      <w:r>
        <w:rPr>
          <w:rFonts w:hint="eastAsia" w:ascii="仿宋_GB2312" w:hAnsi="Calibri" w:eastAsia="仿宋_GB2312" w:cs="ArialUnicodeMS"/>
          <w:kern w:val="0"/>
          <w:sz w:val="32"/>
          <w:szCs w:val="32"/>
        </w:rPr>
        <w:t>年度本部门决算汇编范围的独立核算单位（以下简称“单位”）共</w:t>
      </w:r>
      <w:r>
        <w:rPr>
          <w:rFonts w:ascii="仿宋_GB2312" w:hAnsi="Calibri" w:eastAsia="仿宋_GB2312" w:cs="ArialUnicodeMS"/>
          <w:kern w:val="0"/>
          <w:sz w:val="32"/>
          <w:szCs w:val="32"/>
        </w:rPr>
        <w:t xml:space="preserve"> 2 </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高邑县医疗保障局（本级）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2</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高邑县城乡居民基本医疗保险管理中心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sectPr>
          <w:type w:val="continuous"/>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31"/>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一、收入</w:t>
      </w:r>
      <w:r>
        <w:rPr>
          <w:rFonts w:hint="eastAsia" w:ascii="黑体" w:hAnsi="Cambria" w:eastAsia="黑体" w:cs="黑体"/>
          <w:kern w:val="0"/>
          <w:sz w:val="32"/>
          <w:szCs w:val="32"/>
        </w:rPr>
        <w:t>支出</w:t>
      </w:r>
      <w:r>
        <w:rPr>
          <w:rFonts w:hint="eastAsia" w:ascii="黑体" w:hAnsi="Calibri" w:eastAsia="黑体"/>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highlight w:val="none"/>
        </w:rPr>
        <w:t>本部门</w:t>
      </w:r>
      <w:r>
        <w:rPr>
          <w:rFonts w:hint="eastAsia" w:ascii="仿宋_GB2312" w:hAnsi="Times New Roman" w:eastAsia="仿宋_GB2312" w:cs="DengXian-Regular"/>
          <w:sz w:val="32"/>
          <w:szCs w:val="32"/>
          <w:highlight w:val="none"/>
          <w:lang w:val="en-US" w:eastAsia="zh-CN"/>
        </w:rPr>
        <w:t>2019</w:t>
      </w:r>
      <w:r>
        <w:rPr>
          <w:rFonts w:hint="eastAsia" w:ascii="仿宋_GB2312" w:hAnsi="Times New Roman" w:eastAsia="仿宋_GB2312" w:cs="DengXian-Regular"/>
          <w:sz w:val="32"/>
          <w:szCs w:val="32"/>
        </w:rPr>
        <w:t>年度收支总计（含结转和结余）</w:t>
      </w:r>
      <w:r>
        <w:rPr>
          <w:rFonts w:ascii="仿宋_GB2312" w:hAnsi="Times New Roman" w:eastAsia="仿宋_GB2312" w:cs="DengXian-Regular"/>
          <w:sz w:val="32"/>
          <w:szCs w:val="32"/>
        </w:rPr>
        <w:t>12403.72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highlight w:val="none"/>
        </w:rPr>
        <w:t>与2018年度决算相比，收支各增加</w:t>
      </w:r>
      <w:r>
        <w:rPr>
          <w:rFonts w:ascii="仿宋_GB2312" w:hAnsi="Times New Roman" w:eastAsia="仿宋_GB2312" w:cs="DengXian-Regular"/>
          <w:sz w:val="32"/>
          <w:szCs w:val="32"/>
          <w:highlight w:val="none"/>
        </w:rPr>
        <w:t>12403.72</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本部门是2019年新成立部门，2018年无数据</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hint="eastAsia" w:ascii="黑体" w:hAnsi="Calibri" w:eastAsia="黑体"/>
          <w:sz w:val="32"/>
          <w:szCs w:val="32"/>
          <w:lang w:val="en-US" w:eastAsia="zh-CN"/>
        </w:rPr>
      </w:pPr>
      <w:r>
        <w:rPr>
          <w:rFonts w:hint="eastAsia" w:ascii="黑体" w:hAnsi="Calibri" w:eastAsia="黑体"/>
          <w:sz w:val="32"/>
          <w:szCs w:val="32"/>
        </w:rPr>
        <w:t>二、收入决算情况说明</w:t>
      </w:r>
      <w:r>
        <w:rPr>
          <w:rFonts w:hint="eastAsia" w:ascii="黑体" w:hAnsi="Calibri" w:eastAsia="黑体"/>
          <w:sz w:val="32"/>
          <w:szCs w:val="32"/>
          <w:lang w:val="en-US" w:eastAsia="zh-CN"/>
        </w:rPr>
        <w:tab/>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11482.75</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11482.75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pStyle w:val="2"/>
      </w:pPr>
      <w:r>
        <w:drawing>
          <wp:inline distT="0" distB="0" distL="114300" distR="114300">
            <wp:extent cx="4584065" cy="2755265"/>
            <wp:effectExtent l="0" t="0" r="6985" b="6985"/>
            <wp:docPr id="31" name="图片 3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图片1"/>
                    <pic:cNvPicPr>
                      <a:picLocks noChangeAspect="1"/>
                    </pic:cNvPicPr>
                  </pic:nvPicPr>
                  <pic:blipFill>
                    <a:blip r:embed="rId32"/>
                    <a:stretch>
                      <a:fillRect/>
                    </a:stretch>
                  </pic:blipFill>
                  <pic:spPr>
                    <a:xfrm>
                      <a:off x="0" y="0"/>
                      <a:ext cx="4584065" cy="2755265"/>
                    </a:xfrm>
                    <a:prstGeom prst="rect">
                      <a:avLst/>
                    </a:prstGeom>
                  </pic:spPr>
                </pic:pic>
              </a:graphicData>
            </a:graphic>
          </wp:inline>
        </w:drawing>
      </w:r>
    </w:p>
    <w:p>
      <w:pPr>
        <w:adjustRightInd w:val="0"/>
        <w:snapToGrid w:val="0"/>
        <w:spacing w:line="580" w:lineRule="exact"/>
        <w:ind w:firstLine="2891" w:firstLineChars="900"/>
        <w:jc w:val="both"/>
        <w:rPr>
          <w:rFonts w:hint="default" w:ascii="仿宋_GB2312" w:hAnsi="Times New Roman" w:eastAsia="仿宋_GB2312" w:cs="DengXian-Regular"/>
          <w:b/>
          <w:bCs/>
          <w:kern w:val="2"/>
          <w:sz w:val="32"/>
          <w:szCs w:val="32"/>
          <w:lang w:val="en-US" w:eastAsia="zh-CN" w:bidi="ar-SA"/>
        </w:rPr>
      </w:pPr>
      <w:r>
        <w:rPr>
          <w:rFonts w:hint="eastAsia" w:ascii="仿宋_GB2312" w:hAnsi="Times New Roman" w:eastAsia="仿宋_GB2312" w:cs="DengXian-Regular"/>
          <w:b/>
          <w:bCs/>
          <w:kern w:val="2"/>
          <w:sz w:val="32"/>
          <w:szCs w:val="32"/>
          <w:lang w:val="en-US" w:eastAsia="zh-CN" w:bidi="ar-SA"/>
        </w:rPr>
        <w:t>图1：收入构成情况</w:t>
      </w:r>
    </w:p>
    <w:p>
      <w:pPr>
        <w:keepNext/>
        <w:keepLines/>
        <w:numPr>
          <w:ilvl w:val="0"/>
          <w:numId w:val="1"/>
        </w:numPr>
        <w:snapToGrid w:val="0"/>
        <w:spacing w:line="580" w:lineRule="exact"/>
        <w:ind w:firstLine="640" w:firstLineChars="200"/>
        <w:outlineLvl w:val="1"/>
        <w:rPr>
          <w:rFonts w:hint="eastAsia" w:ascii="黑体" w:hAnsi="Calibri" w:eastAsia="黑体"/>
          <w:sz w:val="32"/>
          <w:szCs w:val="32"/>
        </w:rPr>
      </w:pPr>
      <w:r>
        <w:rPr>
          <w:rFonts w:hint="eastAsia" w:ascii="黑体" w:hAnsi="Calibri" w:eastAsia="黑体"/>
          <w:sz w:val="32"/>
          <w:szCs w:val="32"/>
        </w:rPr>
        <w:t>支出决算情况说明</w:t>
      </w:r>
    </w:p>
    <w:p>
      <w:pPr>
        <w:pStyle w:val="2"/>
        <w:numPr>
          <w:ilvl w:val="0"/>
          <w:numId w:val="1"/>
        </w:num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年度本年支出合计</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133.19</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1.09%</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12056.14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98.91%</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hint="eastAsia" w:eastAsiaTheme="minorEastAsia"/>
          <w:lang w:eastAsia="zh-CN"/>
        </w:rPr>
      </w:pPr>
      <w:r>
        <w:rPr>
          <w:rFonts w:hint="eastAsia" w:ascii="仿宋_GB2312" w:hAnsi="Times New Roman" w:eastAsia="仿宋_GB2312" w:cs="DengXian-Regular"/>
          <w:sz w:val="32"/>
          <w:szCs w:val="32"/>
        </w:rPr>
        <w:t>如图所示：</w:t>
      </w:r>
    </w:p>
    <w:p>
      <w:pPr>
        <w:pStyle w:val="2"/>
        <w:rPr>
          <w:rFonts w:hint="eastAsia" w:eastAsiaTheme="minorEastAsia"/>
          <w:lang w:eastAsia="zh-CN"/>
        </w:rPr>
      </w:pPr>
      <w:r>
        <w:drawing>
          <wp:inline distT="0" distB="0" distL="114300" distR="114300">
            <wp:extent cx="4572000" cy="2743200"/>
            <wp:effectExtent l="4445" t="4445" r="14605" b="14605"/>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adjustRightInd w:val="0"/>
        <w:snapToGrid w:val="0"/>
        <w:spacing w:line="580" w:lineRule="exact"/>
        <w:rPr>
          <w:rFonts w:hint="default" w:ascii="仿宋_GB2312" w:hAnsi="Times New Roman" w:eastAsia="仿宋_GB2312" w:cs="DengXian-Regular"/>
          <w:b/>
          <w:bCs/>
          <w:kern w:val="2"/>
          <w:sz w:val="32"/>
          <w:szCs w:val="32"/>
          <w:lang w:val="en-US" w:eastAsia="zh-CN" w:bidi="ar-SA"/>
        </w:rPr>
      </w:pPr>
      <w:r>
        <w:rPr>
          <w:rFonts w:hint="eastAsia" w:ascii="黑体" w:hAnsi="Calibri" w:eastAsia="黑体"/>
          <w:b/>
          <w:bCs/>
          <w:sz w:val="32"/>
          <w:szCs w:val="32"/>
          <w:lang w:val="en-US" w:eastAsia="zh-CN"/>
        </w:rPr>
        <w:t xml:space="preserve">                 </w:t>
      </w:r>
      <w:r>
        <w:rPr>
          <w:rFonts w:hint="eastAsia" w:ascii="仿宋_GB2312" w:hAnsi="Times New Roman" w:eastAsia="仿宋_GB2312" w:cs="DengXian-Regular"/>
          <w:b/>
          <w:bCs/>
          <w:kern w:val="2"/>
          <w:sz w:val="32"/>
          <w:szCs w:val="32"/>
          <w:lang w:val="en-US" w:eastAsia="zh-CN" w:bidi="ar-SA"/>
        </w:rPr>
        <w:t xml:space="preserve"> 图2：支出构成情况</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四、</w:t>
      </w:r>
      <w:r>
        <w:rPr>
          <w:rFonts w:hint="eastAsia" w:ascii="黑体" w:hAnsi="Cambria" w:eastAsia="黑体" w:cs="黑体"/>
          <w:kern w:val="0"/>
          <w:sz w:val="32"/>
          <w:szCs w:val="32"/>
        </w:rPr>
        <w:t>财政</w:t>
      </w:r>
      <w:r>
        <w:rPr>
          <w:rFonts w:hint="eastAsia" w:ascii="黑体" w:hAnsi="Calibri" w:eastAsia="黑体"/>
          <w:sz w:val="32"/>
          <w:szCs w:val="32"/>
        </w:rPr>
        <w:t>拨款收入支出决算总体情况说明</w:t>
      </w:r>
    </w:p>
    <w:p>
      <w:pPr>
        <w:snapToGrid w:val="0"/>
        <w:spacing w:line="580" w:lineRule="exact"/>
        <w:ind w:firstLine="643" w:firstLineChars="200"/>
        <w:rPr>
          <w:rFonts w:hint="default"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rPr>
        <w:t>（一）财政拨款收支</w:t>
      </w:r>
      <w:r>
        <w:rPr>
          <w:rFonts w:hint="eastAsia" w:ascii="楷体_GB2312" w:hAnsi="Times New Roman" w:eastAsia="楷体_GB2312" w:cs="DengXian-Bold"/>
          <w:b/>
          <w:bCs/>
          <w:sz w:val="32"/>
          <w:szCs w:val="32"/>
          <w:lang w:val="en-US" w:eastAsia="zh-CN"/>
        </w:rPr>
        <w:t>与2018年度决算对比情况</w:t>
      </w:r>
    </w:p>
    <w:p>
      <w:pPr>
        <w:adjustRightInd w:val="0"/>
        <w:snapToGrid w:val="0"/>
        <w:spacing w:line="580" w:lineRule="exact"/>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11482.75</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hint="eastAsia" w:ascii="仿宋_GB2312" w:hAnsi="Times New Roman" w:eastAsia="仿宋_GB2312" w:cs="DengXian-Regular"/>
          <w:sz w:val="32"/>
          <w:szCs w:val="32"/>
          <w:lang w:val="en-US" w:eastAsia="zh-CN"/>
        </w:rPr>
        <w:t>2018年</w:t>
      </w:r>
      <w:r>
        <w:rPr>
          <w:rFonts w:hint="eastAsia" w:ascii="仿宋_GB2312" w:hAnsi="Times New Roman" w:eastAsia="仿宋_GB2312" w:cs="DengXian-Regular"/>
          <w:sz w:val="32"/>
          <w:szCs w:val="32"/>
        </w:rPr>
        <w:t>增加</w:t>
      </w:r>
      <w:r>
        <w:rPr>
          <w:rFonts w:ascii="仿宋_GB2312" w:hAnsi="Times New Roman" w:eastAsia="仿宋_GB2312" w:cs="DengXian-Regular"/>
          <w:sz w:val="32"/>
          <w:szCs w:val="32"/>
        </w:rPr>
        <w:t>11482.75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增长100%，</w:t>
      </w:r>
      <w:r>
        <w:rPr>
          <w:rFonts w:hint="eastAsia" w:ascii="仿宋_GB2312" w:hAnsi="Times New Roman" w:eastAsia="仿宋_GB2312" w:cs="DengXian-Regular"/>
          <w:sz w:val="32"/>
          <w:szCs w:val="32"/>
        </w:rPr>
        <w:t>主要是本部门</w:t>
      </w:r>
      <w:r>
        <w:rPr>
          <w:rFonts w:hint="eastAsia" w:ascii="仿宋_GB2312" w:hAnsi="Times New Roman" w:eastAsia="仿宋_GB2312" w:cs="DengXian-Regular"/>
          <w:sz w:val="32"/>
          <w:szCs w:val="32"/>
          <w:lang w:val="en-US" w:eastAsia="zh-CN"/>
        </w:rPr>
        <w:t>于2019年成立</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年无数据；本年支出</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%，主要是本部门</w:t>
      </w:r>
      <w:r>
        <w:rPr>
          <w:rFonts w:hint="eastAsia" w:ascii="仿宋_GB2312" w:hAnsi="Times New Roman" w:eastAsia="仿宋_GB2312" w:cs="DengXian-Regular"/>
          <w:sz w:val="32"/>
          <w:szCs w:val="32"/>
          <w:lang w:val="en-US" w:eastAsia="zh-CN"/>
        </w:rPr>
        <w:t>于2019年成立</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年无数据。具体情况如下：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11467.75</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比上年增加11467.75万元，主要是</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于2019年成立</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年无数据</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比上年增加</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增长100%，主要是</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于2019年成立</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年无数据。</w:t>
      </w:r>
    </w:p>
    <w:p>
      <w:pPr>
        <w:numPr>
          <w:ilvl w:val="0"/>
          <w:numId w:val="2"/>
        </w:numPr>
        <w:adjustRightInd w:val="0"/>
        <w:snapToGrid w:val="0"/>
        <w:spacing w:line="580" w:lineRule="exact"/>
        <w:ind w:left="0" w:leftChars="0"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15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比上年增加15万元，增长100%，主要是</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于2019年成立</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年无数据</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0万元，比上年增加0万元，主要是本部门于2019年成立，2018年无数据，2019年无支出。如图所示：</w:t>
      </w:r>
    </w:p>
    <w:p>
      <w:pPr>
        <w:pStyle w:val="2"/>
        <w:widowControl w:val="0"/>
        <w:numPr>
          <w:ilvl w:val="0"/>
          <w:numId w:val="0"/>
        </w:numPr>
        <w:spacing w:before="100" w:beforeAutospacing="1" w:after="120"/>
        <w:jc w:val="both"/>
      </w:pPr>
      <w:r>
        <w:rPr>
          <w:rFonts w:hint="eastAsia"/>
          <w:lang w:val="en-US" w:eastAsia="zh-CN"/>
        </w:rPr>
        <w:t xml:space="preserve">     </w:t>
      </w:r>
      <w:r>
        <w:drawing>
          <wp:inline distT="0" distB="0" distL="114300" distR="114300">
            <wp:extent cx="4505325" cy="2743200"/>
            <wp:effectExtent l="4445" t="4445" r="5080" b="14605"/>
            <wp:docPr id="3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pStyle w:val="2"/>
        <w:widowControl w:val="0"/>
        <w:numPr>
          <w:ilvl w:val="0"/>
          <w:numId w:val="0"/>
        </w:numPr>
        <w:spacing w:before="100" w:beforeAutospacing="1" w:after="120"/>
        <w:jc w:val="both"/>
        <w:rPr>
          <w:rFonts w:hint="default" w:ascii="仿宋_GB2312" w:hAnsi="Times New Roman" w:eastAsia="仿宋_GB2312" w:cs="DengXian-Regular"/>
          <w:b/>
          <w:bCs/>
          <w:kern w:val="2"/>
          <w:sz w:val="32"/>
          <w:szCs w:val="32"/>
          <w:lang w:val="en-US" w:eastAsia="zh-CN" w:bidi="ar-SA"/>
        </w:rPr>
      </w:pPr>
      <w:r>
        <w:rPr>
          <w:rFonts w:hint="eastAsia"/>
          <w:lang w:val="en-US" w:eastAsia="zh-CN"/>
        </w:rPr>
        <w:t xml:space="preserve">           </w:t>
      </w:r>
      <w:r>
        <w:rPr>
          <w:rFonts w:hint="eastAsia" w:ascii="仿宋_GB2312" w:hAnsi="Times New Roman" w:eastAsia="仿宋_GB2312" w:cs="DengXian-Regular"/>
          <w:b/>
          <w:bCs/>
          <w:kern w:val="2"/>
          <w:sz w:val="32"/>
          <w:szCs w:val="32"/>
          <w:lang w:val="en-US" w:eastAsia="zh-CN" w:bidi="ar-SA"/>
        </w:rPr>
        <w:t>图3：财政拨款收支与2018年度决算对比情况</w:t>
      </w:r>
    </w:p>
    <w:p>
      <w:pPr>
        <w:snapToGrid w:val="0"/>
        <w:spacing w:line="580" w:lineRule="exact"/>
        <w:ind w:firstLine="321" w:firstLineChars="1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年度财政拨款本年收入</w:t>
      </w:r>
      <w:r>
        <w:rPr>
          <w:rFonts w:ascii="仿宋_GB2312" w:hAnsi="Times New Roman" w:eastAsia="仿宋_GB2312" w:cs="DengXian-Regular"/>
          <w:sz w:val="32"/>
          <w:szCs w:val="32"/>
        </w:rPr>
        <w:t>11482.75</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132.65%,</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2826.18</w:t>
      </w:r>
      <w:r>
        <w:rPr>
          <w:rFonts w:hint="eastAsia" w:ascii="仿宋_GB2312" w:hAnsi="Times New Roman" w:eastAsia="仿宋_GB2312" w:cs="DengXian-Regular"/>
          <w:sz w:val="32"/>
          <w:szCs w:val="32"/>
        </w:rPr>
        <w:t>万元，决算数大于预算数主要原因是做预算时部分专项资金下达文未到</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未列入年初预算</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140.81%,</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3532.76</w:t>
      </w:r>
      <w:r>
        <w:rPr>
          <w:rFonts w:hint="eastAsia" w:ascii="仿宋_GB2312" w:hAnsi="Times New Roman" w:eastAsia="仿宋_GB2312" w:cs="DengXian-Regular"/>
          <w:sz w:val="32"/>
          <w:szCs w:val="32"/>
        </w:rPr>
        <w:t>万元，决算数大于预算数主要原因是医疗费用增多。具体情况如下：</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ascii="仿宋_GB2312" w:hAnsi="Times New Roman" w:eastAsia="仿宋_GB2312" w:cs="DengXian-Regular"/>
          <w:sz w:val="32"/>
          <w:szCs w:val="32"/>
        </w:rPr>
        <w:t>132.7%</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2826.18</w:t>
      </w:r>
      <w:r>
        <w:rPr>
          <w:rFonts w:hint="eastAsia" w:ascii="仿宋_GB2312" w:hAnsi="Times New Roman" w:eastAsia="仿宋_GB2312" w:cs="DengXian-Regular"/>
          <w:sz w:val="32"/>
          <w:szCs w:val="32"/>
        </w:rPr>
        <w:t>万元，主要是做预算时部分专项资金下达文未到</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未列入年初预算</w:t>
      </w:r>
      <w:r>
        <w:rPr>
          <w:rFonts w:hint="eastAsia" w:ascii="仿宋_GB2312" w:hAnsi="Times New Roman" w:eastAsia="仿宋_GB2312" w:cs="DengXian-Regular"/>
          <w:sz w:val="32"/>
          <w:szCs w:val="32"/>
        </w:rPr>
        <w:t>；支出完成年初预算</w:t>
      </w:r>
      <w:r>
        <w:rPr>
          <w:rFonts w:ascii="仿宋_GB2312" w:hAnsi="Times New Roman" w:eastAsia="仿宋_GB2312" w:cs="DengXian-Regular"/>
          <w:sz w:val="32"/>
          <w:szCs w:val="32"/>
        </w:rPr>
        <w:t>141.05%</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3547.76</w:t>
      </w:r>
      <w:r>
        <w:rPr>
          <w:rFonts w:hint="eastAsia" w:ascii="仿宋_GB2312" w:hAnsi="Times New Roman" w:eastAsia="仿宋_GB2312" w:cs="DengXian-Regular"/>
          <w:sz w:val="32"/>
          <w:szCs w:val="32"/>
        </w:rPr>
        <w:t>万元，主要是医疗费用增多。</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与年初预算持平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万元，主要是本年度无支出。</w:t>
      </w:r>
      <w:r>
        <w:rPr>
          <w:rFonts w:hint="eastAsia" w:ascii="仿宋_GB2312" w:hAnsi="Times New Roman" w:eastAsia="仿宋_GB2312" w:cs="DengXian-Regular"/>
          <w:sz w:val="32"/>
          <w:szCs w:val="32"/>
          <w:lang w:val="en-US" w:eastAsia="zh-CN"/>
        </w:rPr>
        <w:t>如图所示：</w:t>
      </w:r>
    </w:p>
    <w:p>
      <w:pPr>
        <w:pStyle w:val="2"/>
        <w:rPr>
          <w:rFonts w:hint="eastAsia" w:ascii="仿宋_GB2312" w:hAnsi="Times New Roman" w:eastAsia="仿宋_GB2312" w:cs="DengXian-Regular"/>
          <w:sz w:val="32"/>
          <w:szCs w:val="32"/>
        </w:rPr>
      </w:pPr>
      <w:r>
        <w:drawing>
          <wp:inline distT="0" distB="0" distL="114300" distR="114300">
            <wp:extent cx="4572000" cy="2743200"/>
            <wp:effectExtent l="4445" t="4445" r="14605" b="14605"/>
            <wp:docPr id="3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pStyle w:val="2"/>
        <w:widowControl w:val="0"/>
        <w:numPr>
          <w:ilvl w:val="0"/>
          <w:numId w:val="0"/>
        </w:numPr>
        <w:spacing w:before="100" w:beforeAutospacing="1" w:after="120"/>
        <w:jc w:val="center"/>
        <w:rPr>
          <w:rFonts w:hint="eastAsia" w:ascii="仿宋_GB2312" w:hAnsi="Times New Roman" w:eastAsia="仿宋_GB2312" w:cs="DengXian-Regular"/>
          <w:b/>
          <w:bCs/>
          <w:kern w:val="2"/>
          <w:sz w:val="32"/>
          <w:szCs w:val="32"/>
          <w:lang w:val="en-US" w:eastAsia="zh-CN" w:bidi="ar-SA"/>
        </w:rPr>
      </w:pPr>
      <w:r>
        <w:rPr>
          <w:rFonts w:hint="eastAsia" w:ascii="仿宋_GB2312" w:hAnsi="Times New Roman" w:eastAsia="仿宋_GB2312" w:cs="DengXian-Regular"/>
          <w:b/>
          <w:bCs/>
          <w:kern w:val="2"/>
          <w:sz w:val="32"/>
          <w:szCs w:val="32"/>
          <w:lang w:val="en-US" w:eastAsia="zh-CN" w:bidi="ar-SA"/>
        </w:rPr>
        <w:t>图4：财政拨款收支与年初预算数对比情况</w:t>
      </w:r>
    </w:p>
    <w:p>
      <w:pPr>
        <w:pStyle w:val="2"/>
        <w:rPr>
          <w:rFonts w:hint="eastAsia" w:ascii="仿宋_GB2312" w:hAnsi="Times New Roman" w:eastAsia="仿宋_GB2312" w:cs="DengXian-Regular"/>
          <w:sz w:val="32"/>
          <w:szCs w:val="32"/>
        </w:rPr>
      </w:pPr>
    </w:p>
    <w:p>
      <w:pPr>
        <w:pStyle w:val="2"/>
        <w:rPr>
          <w:rFonts w:hint="eastAsia" w:ascii="仿宋_GB2312" w:hAnsi="Times New Roman" w:eastAsia="仿宋_GB2312" w:cs="DengXian-Regular"/>
          <w:sz w:val="32"/>
          <w:szCs w:val="32"/>
        </w:rPr>
      </w:pPr>
    </w:p>
    <w:p>
      <w:pPr>
        <w:pStyle w:val="2"/>
        <w:rPr>
          <w:rFonts w:hint="eastAsia" w:ascii="仿宋_GB2312" w:hAnsi="Times New Roman" w:eastAsia="仿宋_GB2312" w:cs="DengXian-Regular"/>
          <w:sz w:val="32"/>
          <w:szCs w:val="32"/>
        </w:rPr>
      </w:pP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default" w:eastAsiaTheme="minorEastAsia"/>
          <w:lang w:val="en-US" w:eastAsia="zh-CN"/>
        </w:rPr>
      </w:pP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12189.33</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 xml:space="preserve"> 81.67</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0.67%</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12.05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0.1%;</w:t>
      </w:r>
      <w:r>
        <w:rPr>
          <w:rFonts w:hint="eastAsia" w:ascii="仿宋_GB2312" w:hAnsi="Times New Roman" w:eastAsia="仿宋_GB2312" w:cs="DengXian-Regular"/>
          <w:sz w:val="32"/>
          <w:szCs w:val="32"/>
        </w:rPr>
        <w:t>卫生健康支出</w:t>
      </w:r>
      <w:r>
        <w:rPr>
          <w:rFonts w:ascii="仿宋_GB2312" w:hAnsi="Times New Roman" w:eastAsia="仿宋_GB2312" w:cs="DengXian-Regular"/>
          <w:sz w:val="32"/>
          <w:szCs w:val="32"/>
        </w:rPr>
        <w:t>12095.61</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99.23%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r>
        <w:rPr>
          <w:rFonts w:hint="eastAsia" w:ascii="仿宋_GB2312" w:hAnsi="Times New Roman" w:eastAsia="仿宋_GB2312" w:cs="DengXian-Regular"/>
          <w:sz w:val="32"/>
          <w:szCs w:val="32"/>
          <w:lang w:val="en-US" w:eastAsia="zh-CN"/>
        </w:rPr>
        <w:tab/>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pStyle w:val="2"/>
        <w:rPr>
          <w:rFonts w:hint="eastAsia" w:ascii="仿宋_GB2312" w:hAnsi="Times New Roman" w:eastAsia="仿宋_GB2312" w:cs="DengXian-Regular"/>
          <w:sz w:val="32"/>
          <w:szCs w:val="32"/>
        </w:rPr>
      </w:pPr>
      <w:r>
        <w:drawing>
          <wp:inline distT="0" distB="0" distL="114300" distR="114300">
            <wp:extent cx="4572000" cy="2743200"/>
            <wp:effectExtent l="4445" t="4445" r="14605" b="14605"/>
            <wp:docPr id="28" name="图表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b/>
          <w:bCs/>
          <w:sz w:val="32"/>
          <w:szCs w:val="32"/>
          <w:lang w:val="en-US" w:eastAsia="zh-CN"/>
        </w:rPr>
        <w:t>图5：财政拨款支出决算结构情况</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133.19</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 xml:space="preserve"> 99.9</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33.3</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五、一般公共预算“三公”</w:t>
      </w:r>
      <w:r>
        <w:rPr>
          <w:rFonts w:ascii="黑体" w:hAnsi="Calibri" w:eastAsia="黑体"/>
          <w:sz w:val="32"/>
          <w:szCs w:val="32"/>
        </w:rPr>
        <w:t xml:space="preserve"> </w:t>
      </w:r>
      <w:r>
        <w:rPr>
          <w:rFonts w:hint="eastAsia" w:ascii="黑体" w:hAnsi="Calibri" w:eastAsia="黑体"/>
          <w:sz w:val="32"/>
          <w:szCs w:val="32"/>
        </w:rPr>
        <w:t>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1.05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本年度未发生“三公”经费支出</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年初未列相关预算，且本年度未发生因公出国（境）费支出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本年度无公务用车，因此未发生相关费用支出</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公务用车购置费年初无预算</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未发生“公务用车运行维护费”支出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0.05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未发生“公务接待费”支出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sz w:val="32"/>
          <w:szCs w:val="40"/>
        </w:rPr>
      </w:pPr>
      <w:r>
        <w:rPr>
          <w:rFonts w:hint="eastAsia" w:ascii="黑体" w:hAnsi="Times New Roman" w:eastAsia="黑体"/>
          <w:sz w:val="32"/>
          <w:szCs w:val="40"/>
        </w:rPr>
        <w:t>六、预算绩效情况说明</w:t>
      </w:r>
    </w:p>
    <w:p>
      <w:p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ascii="仿宋_GB2312" w:hAnsi="仿宋_GB2312" w:eastAsia="仿宋_GB2312" w:cs="仿宋_GB2312"/>
          <w:b/>
          <w:bCs/>
          <w:sz w:val="32"/>
          <w:szCs w:val="32"/>
        </w:rPr>
        <w:t xml:space="preserve">1. </w:t>
      </w:r>
      <w:r>
        <w:rPr>
          <w:rFonts w:hint="eastAsia" w:ascii="仿宋_GB2312" w:hAnsi="仿宋_GB2312" w:eastAsia="仿宋_GB2312" w:cs="仿宋_GB2312"/>
          <w:b/>
          <w:bCs/>
          <w:sz w:val="32"/>
          <w:szCs w:val="32"/>
        </w:rPr>
        <w:t>预算绩效管理工作开展情况。</w:t>
      </w:r>
    </w:p>
    <w:p>
      <w:pPr>
        <w:adjustRightInd w:val="0"/>
        <w:snapToGrid w:val="0"/>
        <w:spacing w:line="58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根据预算绩效管理要求，本部门组织对2019年度一般公共预算项目支出全面开展绩效自评，其中，一级项目1个，二级项目14个，共涉及资</w:t>
      </w:r>
      <w:r>
        <w:rPr>
          <w:rFonts w:hint="eastAsia" w:ascii="仿宋" w:hAnsi="仿宋" w:eastAsia="仿宋" w:cs="仿宋"/>
          <w:kern w:val="2"/>
          <w:sz w:val="32"/>
          <w:szCs w:val="32"/>
          <w:highlight w:val="none"/>
          <w:lang w:val="en-US" w:eastAsia="zh-CN" w:bidi="ar-SA"/>
        </w:rPr>
        <w:t>金11275.96万元，占</w:t>
      </w:r>
      <w:r>
        <w:rPr>
          <w:rFonts w:hint="eastAsia" w:ascii="仿宋" w:hAnsi="仿宋" w:eastAsia="仿宋" w:cs="仿宋"/>
          <w:kern w:val="2"/>
          <w:sz w:val="32"/>
          <w:szCs w:val="32"/>
          <w:lang w:val="en-US" w:eastAsia="zh-CN" w:bidi="ar-SA"/>
        </w:rPr>
        <w:t>一般公共预算项目支出总额的</w:t>
      </w:r>
      <w:r>
        <w:rPr>
          <w:rFonts w:hint="eastAsia" w:ascii="仿宋" w:hAnsi="仿宋" w:eastAsia="仿宋" w:cs="仿宋"/>
          <w:kern w:val="2"/>
          <w:sz w:val="32"/>
          <w:szCs w:val="32"/>
          <w:highlight w:val="none"/>
          <w:lang w:val="en-US" w:eastAsia="zh-CN" w:bidi="ar-SA"/>
        </w:rPr>
        <w:t>93.53%</w:t>
      </w:r>
      <w:r>
        <w:rPr>
          <w:rFonts w:hint="eastAsia" w:ascii="仿宋" w:hAnsi="仿宋" w:eastAsia="仿宋" w:cs="仿宋"/>
          <w:kern w:val="2"/>
          <w:sz w:val="32"/>
          <w:szCs w:val="32"/>
          <w:lang w:val="en-US" w:eastAsia="zh-CN" w:bidi="ar-SA"/>
        </w:rPr>
        <w:t>。组织对2019年度中央财政医疗救助补助资金1个政府性基金预算项目支出开展绩效自评，共涉及资金15万元，占政府性基金预算项目支出总额的100%。组织对城乡居民医疗保险补助资金、医疗救助资金、办公经费等15个项目开展了部门评价，涉及一般公共预算支出11260.96万元，</w:t>
      </w:r>
      <w:r>
        <w:rPr>
          <w:rFonts w:hint="eastAsia" w:ascii="仿宋_GB2312" w:hAnsi="仿宋_GB2312" w:eastAsia="仿宋_GB2312" w:cs="仿宋_GB2312"/>
          <w:sz w:val="32"/>
          <w:szCs w:val="32"/>
        </w:rPr>
        <w:t>政府性基金预算支出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w:t>
      </w:r>
      <w:r>
        <w:rPr>
          <w:rFonts w:hint="eastAsia" w:ascii="仿宋" w:hAnsi="仿宋" w:eastAsia="仿宋" w:cs="仿宋"/>
          <w:kern w:val="2"/>
          <w:sz w:val="32"/>
          <w:szCs w:val="32"/>
          <w:lang w:val="en-US" w:eastAsia="zh-CN" w:bidi="ar-SA"/>
        </w:rPr>
        <w:t>。从评价情况来看，考核结果为优秀。</w:t>
      </w:r>
    </w:p>
    <w:p>
      <w:pPr>
        <w:numPr>
          <w:ilvl w:val="0"/>
          <w:numId w:val="5"/>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部门决算中项目绩效自评结果。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right="0" w:rightChars="0" w:firstLine="64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城乡居民医疗县级财政补助资金1</w:t>
      </w:r>
      <w:r>
        <w:rPr>
          <w:rFonts w:hint="eastAsia" w:ascii="仿宋_GB2312" w:hAnsi="仿宋_GB2312" w:eastAsia="仿宋_GB2312" w:cs="仿宋_GB2312"/>
          <w:sz w:val="32"/>
          <w:szCs w:val="32"/>
        </w:rPr>
        <w:t>个项目绩效自评结果。</w:t>
      </w:r>
    </w:p>
    <w:p>
      <w:pPr>
        <w:keepNext w:val="0"/>
        <w:keepLines w:val="0"/>
        <w:widowControl/>
        <w:numPr>
          <w:ilvl w:val="0"/>
          <w:numId w:val="6"/>
        </w:numPr>
        <w:suppressLineNumbers w:val="0"/>
        <w:ind w:firstLine="320" w:firstLineChars="100"/>
        <w:jc w:val="left"/>
        <w:rPr>
          <w:rFonts w:hint="eastAsia" w:ascii="仿宋" w:hAnsi="仿宋" w:eastAsia="仿宋" w:cs="仿宋"/>
          <w:color w:val="000000"/>
          <w:kern w:val="0"/>
          <w:sz w:val="31"/>
          <w:szCs w:val="31"/>
          <w:lang w:val="en-US" w:eastAsia="zh-CN" w:bidi="ar"/>
        </w:rPr>
      </w:pPr>
      <w:r>
        <w:rPr>
          <w:rFonts w:hint="eastAsia" w:ascii="仿宋_GB2312" w:hAnsi="仿宋_GB2312" w:eastAsia="仿宋_GB2312" w:cs="仿宋_GB2312"/>
          <w:sz w:val="32"/>
          <w:szCs w:val="32"/>
          <w:lang w:val="en-US" w:eastAsia="zh-CN"/>
        </w:rPr>
        <w:t>城乡居民医疗县级财政补助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城乡居民医疗县级财政补助</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89</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1756.08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1756.08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lang w:val="en-US" w:eastAsia="zh-CN"/>
        </w:rPr>
        <w:t>居民参保人数预期参保177354人，因一部分人户口迁移，一部分人终止居民参加职工医保；预算数1756.08万元，财政补助标准由110元/人，调整为104元/人，调整预算为1756.08万元</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开展基本医疗保险相关知识培训，增强居民对基本医疗保险政策知晓率</w:t>
      </w:r>
      <w:r>
        <w:rPr>
          <w:rFonts w:hint="eastAsia" w:ascii="仿宋_GB2312" w:hAnsi="仿宋_GB2312" w:eastAsia="仿宋_GB2312" w:cs="仿宋_GB2312"/>
          <w:sz w:val="32"/>
          <w:szCs w:val="32"/>
        </w:rPr>
        <w:t>。发现的主要问题及原因：</w:t>
      </w:r>
      <w:r>
        <w:rPr>
          <w:rFonts w:ascii="仿宋" w:hAnsi="仿宋" w:eastAsia="仿宋" w:cs="仿宋"/>
          <w:color w:val="000000"/>
          <w:kern w:val="0"/>
          <w:sz w:val="31"/>
          <w:szCs w:val="31"/>
          <w:lang w:val="en-US" w:eastAsia="zh-CN" w:bidi="ar"/>
        </w:rPr>
        <w:t>一是编制预算绩效目标量化指标的设定有待加强；二是自评结果</w:t>
      </w:r>
      <w:r>
        <w:rPr>
          <w:rFonts w:hint="eastAsia" w:ascii="仿宋" w:hAnsi="仿宋" w:eastAsia="仿宋" w:cs="仿宋"/>
          <w:color w:val="000000"/>
          <w:kern w:val="0"/>
          <w:sz w:val="31"/>
          <w:szCs w:val="31"/>
          <w:lang w:val="en-US" w:eastAsia="zh-CN" w:bidi="ar"/>
        </w:rPr>
        <w:t>运用不充分。下一步改进措施：一是全面落实预算项目绩效管理要求，合理设置绩效目标，量化指标更加科学；二是进一步加大政策宣传力度，提高经办服务水平。</w:t>
      </w:r>
    </w:p>
    <w:p>
      <w:pPr>
        <w:keepNext w:val="0"/>
        <w:keepLines w:val="0"/>
        <w:widowControl/>
        <w:suppressLineNumbers w:val="0"/>
        <w:ind w:firstLine="320" w:firstLineChars="100"/>
        <w:jc w:val="left"/>
        <w:rPr>
          <w:rFonts w:hint="eastAsia" w:ascii="仿宋" w:hAnsi="仿宋" w:eastAsia="仿宋" w:cs="仿宋"/>
          <w:color w:val="000000"/>
          <w:kern w:val="0"/>
          <w:sz w:val="31"/>
          <w:szCs w:val="31"/>
          <w:lang w:val="en-US" w:eastAsia="zh-CN" w:bidi="ar"/>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hAnsi="仿宋_GB2312" w:eastAsia="仿宋_GB2312" w:cs="仿宋_GB2312"/>
          <w:sz w:val="32"/>
          <w:szCs w:val="32"/>
          <w:lang w:val="en-US" w:eastAsia="zh-CN"/>
        </w:rPr>
        <w:t>城乡居民医疗县级财政补助</w:t>
      </w:r>
      <w:r>
        <w:rPr>
          <w:rFonts w:hint="eastAsia" w:ascii="仿宋_GB2312" w:hAnsi="仿宋_GB2312" w:eastAsia="仿宋_GB2312" w:cs="仿宋_GB2312"/>
          <w:sz w:val="32"/>
          <w:szCs w:val="32"/>
        </w:rPr>
        <w:t>项目绩效自评综述：</w:t>
      </w:r>
      <w:r>
        <w:rPr>
          <w:rFonts w:ascii="仿宋" w:hAnsi="仿宋" w:eastAsia="仿宋" w:cs="仿宋"/>
          <w:color w:val="000000"/>
          <w:kern w:val="0"/>
          <w:sz w:val="31"/>
          <w:szCs w:val="31"/>
          <w:lang w:val="en-US" w:eastAsia="zh-CN" w:bidi="ar"/>
        </w:rPr>
        <w:t>我局部门整体工作绩效运</w:t>
      </w:r>
      <w:r>
        <w:rPr>
          <w:rFonts w:hint="eastAsia" w:ascii="仿宋" w:hAnsi="仿宋" w:eastAsia="仿宋" w:cs="仿宋"/>
          <w:color w:val="000000"/>
          <w:kern w:val="0"/>
          <w:sz w:val="31"/>
          <w:szCs w:val="31"/>
          <w:lang w:val="en-US" w:eastAsia="zh-CN" w:bidi="ar"/>
        </w:rPr>
        <w:t>行良好，医保工作推进有力，预算项目经费按专项进行明细核算，做到了专款专用。下一步，我局将继续严格按照预算绩效管理要</w:t>
      </w:r>
      <w:r>
        <w:rPr>
          <w:rFonts w:ascii="仿宋" w:hAnsi="仿宋" w:eastAsia="仿宋" w:cs="仿宋"/>
          <w:color w:val="000000"/>
          <w:kern w:val="0"/>
          <w:sz w:val="31"/>
          <w:szCs w:val="31"/>
          <w:lang w:val="en-US" w:eastAsia="zh-CN" w:bidi="ar"/>
        </w:rPr>
        <w:t>求，加大对项目支付进度的督办力度，强化项目支付责任，确保</w:t>
      </w:r>
      <w:r>
        <w:rPr>
          <w:rFonts w:hint="eastAsia" w:ascii="仿宋" w:hAnsi="仿宋" w:eastAsia="仿宋" w:cs="仿宋"/>
          <w:color w:val="000000"/>
          <w:kern w:val="0"/>
          <w:sz w:val="31"/>
          <w:szCs w:val="31"/>
          <w:lang w:val="en-US" w:eastAsia="zh-CN" w:bidi="ar"/>
        </w:rPr>
        <w:t>预算安排实施进度和支付进度双达标。同时，加强预算项目动态监管，发现问题及时整改，充分发挥部门预算资金整体效益，全力做好医疗保障各项工作。</w:t>
      </w:r>
    </w:p>
    <w:p>
      <w:pPr>
        <w:keepNext w:val="0"/>
        <w:keepLines w:val="0"/>
        <w:widowControl/>
        <w:numPr>
          <w:ilvl w:val="0"/>
          <w:numId w:val="7"/>
        </w:numPr>
        <w:suppressLineNumbers w:val="0"/>
        <w:ind w:firstLine="622" w:firstLineChars="200"/>
        <w:jc w:val="left"/>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财政评价项目绩效评价结果</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根据项目执行情况和项目绩效情况，总得分</w:t>
      </w:r>
      <w:r>
        <w:rPr>
          <w:rFonts w:hint="eastAsia" w:ascii="仿宋_GB2312" w:eastAsia="仿宋_GB2312"/>
          <w:sz w:val="32"/>
          <w:szCs w:val="32"/>
          <w:lang w:val="en-US" w:eastAsia="zh-CN"/>
        </w:rPr>
        <w:t>89</w:t>
      </w:r>
      <w:r>
        <w:rPr>
          <w:rFonts w:hint="eastAsia" w:ascii="仿宋_GB2312" w:eastAsia="仿宋_GB2312"/>
          <w:sz w:val="32"/>
          <w:szCs w:val="32"/>
        </w:rPr>
        <w:t>分，其中产出</w:t>
      </w:r>
      <w:r>
        <w:rPr>
          <w:rFonts w:hint="eastAsia" w:ascii="仿宋_GB2312" w:eastAsia="仿宋_GB2312"/>
          <w:sz w:val="32"/>
          <w:szCs w:val="32"/>
          <w:lang w:val="en-US" w:eastAsia="zh-CN"/>
        </w:rPr>
        <w:t>36</w:t>
      </w:r>
      <w:r>
        <w:rPr>
          <w:rFonts w:hint="eastAsia" w:ascii="仿宋_GB2312" w:eastAsia="仿宋_GB2312"/>
          <w:sz w:val="32"/>
          <w:szCs w:val="32"/>
        </w:rPr>
        <w:t>分</w:t>
      </w:r>
      <w:r>
        <w:rPr>
          <w:rFonts w:hint="eastAsia" w:ascii="仿宋_GB2312" w:eastAsia="仿宋_GB2312"/>
          <w:sz w:val="32"/>
          <w:szCs w:val="32"/>
          <w:lang w:eastAsia="zh-CN"/>
        </w:rPr>
        <w:t>、预算执行率</w:t>
      </w:r>
      <w:r>
        <w:rPr>
          <w:rFonts w:hint="eastAsia" w:ascii="仿宋_GB2312" w:eastAsia="仿宋_GB2312"/>
          <w:sz w:val="32"/>
          <w:szCs w:val="32"/>
          <w:lang w:val="en-US" w:eastAsia="zh-CN"/>
        </w:rPr>
        <w:t>10</w:t>
      </w:r>
      <w:r>
        <w:rPr>
          <w:rFonts w:hint="eastAsia" w:ascii="仿宋_GB2312" w:eastAsia="仿宋_GB2312"/>
          <w:sz w:val="32"/>
          <w:szCs w:val="32"/>
        </w:rPr>
        <w:t>分</w:t>
      </w:r>
      <w:r>
        <w:rPr>
          <w:rFonts w:hint="eastAsia" w:ascii="仿宋_GB2312" w:eastAsia="仿宋_GB2312"/>
          <w:sz w:val="32"/>
          <w:szCs w:val="32"/>
          <w:lang w:eastAsia="zh-CN"/>
        </w:rPr>
        <w:t>，效益</w:t>
      </w:r>
      <w:r>
        <w:rPr>
          <w:rFonts w:hint="eastAsia" w:ascii="仿宋_GB2312" w:eastAsia="仿宋_GB2312"/>
          <w:sz w:val="32"/>
          <w:szCs w:val="32"/>
          <w:lang w:val="en-US" w:eastAsia="zh-CN"/>
        </w:rPr>
        <w:t>36分，</w:t>
      </w:r>
      <w:r>
        <w:rPr>
          <w:rFonts w:hint="eastAsia" w:ascii="仿宋_GB2312" w:eastAsia="仿宋_GB2312"/>
          <w:sz w:val="32"/>
          <w:szCs w:val="32"/>
          <w:lang w:eastAsia="zh-CN"/>
        </w:rPr>
        <w:t>满意度</w:t>
      </w:r>
      <w:r>
        <w:rPr>
          <w:rFonts w:hint="eastAsia" w:ascii="仿宋_GB2312" w:eastAsia="仿宋_GB2312"/>
          <w:sz w:val="32"/>
          <w:szCs w:val="32"/>
          <w:lang w:val="en-US" w:eastAsia="zh-CN"/>
        </w:rPr>
        <w:t>7分，</w:t>
      </w:r>
      <w:r>
        <w:rPr>
          <w:rFonts w:hint="eastAsia" w:ascii="仿宋_GB2312" w:eastAsia="仿宋_GB2312"/>
          <w:sz w:val="32"/>
          <w:szCs w:val="32"/>
        </w:rPr>
        <w:t>项目综合绩效评价等级为优秀。</w:t>
      </w:r>
    </w:p>
    <w:p>
      <w:pPr>
        <w:pStyle w:val="2"/>
        <w:numPr>
          <w:ilvl w:val="0"/>
          <w:numId w:val="0"/>
        </w:numPr>
        <w:ind w:firstLine="640" w:firstLineChars="200"/>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绩效评价表如下：</w:t>
      </w:r>
    </w:p>
    <w:p>
      <w:pPr>
        <w:pStyle w:val="2"/>
        <w:numPr>
          <w:ilvl w:val="0"/>
          <w:numId w:val="0"/>
        </w:numPr>
        <w:ind w:firstLine="640" w:firstLineChars="200"/>
        <w:rPr>
          <w:rFonts w:hint="eastAsia" w:ascii="仿宋_GB2312" w:eastAsia="仿宋_GB2312" w:hAnsiTheme="minorHAnsi" w:cstheme="minorBidi"/>
          <w:kern w:val="2"/>
          <w:sz w:val="32"/>
          <w:szCs w:val="32"/>
          <w:lang w:val="en-US" w:eastAsia="zh-CN" w:bidi="ar-SA"/>
        </w:rPr>
      </w:pPr>
    </w:p>
    <w:p>
      <w:pPr>
        <w:pStyle w:val="2"/>
        <w:numPr>
          <w:ilvl w:val="0"/>
          <w:numId w:val="0"/>
        </w:numPr>
        <w:ind w:firstLine="640" w:firstLineChars="200"/>
        <w:rPr>
          <w:rFonts w:hint="eastAsia" w:ascii="仿宋_GB2312" w:eastAsia="仿宋_GB2312" w:hAnsiTheme="minorHAnsi" w:cstheme="minorBidi"/>
          <w:kern w:val="2"/>
          <w:sz w:val="32"/>
          <w:szCs w:val="32"/>
          <w:lang w:val="en-US" w:eastAsia="zh-CN" w:bidi="ar-SA"/>
        </w:rPr>
      </w:pPr>
    </w:p>
    <w:tbl>
      <w:tblPr>
        <w:tblStyle w:val="8"/>
        <w:tblW w:w="8967" w:type="dxa"/>
        <w:tblInd w:w="93" w:type="dxa"/>
        <w:shd w:val="clear" w:color="auto" w:fill="auto"/>
        <w:tblLayout w:type="fixed"/>
        <w:tblCellMar>
          <w:top w:w="0" w:type="dxa"/>
          <w:left w:w="108" w:type="dxa"/>
          <w:bottom w:w="0" w:type="dxa"/>
          <w:right w:w="108" w:type="dxa"/>
        </w:tblCellMar>
      </w:tblPr>
      <w:tblGrid>
        <w:gridCol w:w="1016"/>
        <w:gridCol w:w="2607"/>
        <w:gridCol w:w="1125"/>
        <w:gridCol w:w="606"/>
        <w:gridCol w:w="776"/>
        <w:gridCol w:w="720"/>
        <w:gridCol w:w="781"/>
        <w:gridCol w:w="1336"/>
      </w:tblGrid>
      <w:tr>
        <w:tblPrEx>
          <w:shd w:val="clear" w:color="auto" w:fill="auto"/>
          <w:tblCellMar>
            <w:top w:w="0" w:type="dxa"/>
            <w:left w:w="108" w:type="dxa"/>
            <w:bottom w:w="0" w:type="dxa"/>
            <w:right w:w="108" w:type="dxa"/>
          </w:tblCellMar>
        </w:tblPrEx>
        <w:trPr>
          <w:trHeight w:val="510" w:hRule="atLeast"/>
        </w:trPr>
        <w:tc>
          <w:tcPr>
            <w:tcW w:w="8967"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tblPrEx>
          <w:shd w:val="clear" w:color="auto" w:fill="auto"/>
          <w:tblCellMar>
            <w:top w:w="0" w:type="dxa"/>
            <w:left w:w="108" w:type="dxa"/>
            <w:bottom w:w="0" w:type="dxa"/>
            <w:right w:w="108" w:type="dxa"/>
          </w:tblCellMar>
        </w:tblPrEx>
        <w:trPr>
          <w:trHeight w:val="300" w:hRule="atLeast"/>
        </w:trPr>
        <w:tc>
          <w:tcPr>
            <w:tcW w:w="8967"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（2019年度）</w:t>
            </w:r>
          </w:p>
        </w:tc>
      </w:tr>
      <w:tr>
        <w:tblPrEx>
          <w:shd w:val="clear" w:color="auto" w:fill="auto"/>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607"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sz w:val="16"/>
                <w:szCs w:val="16"/>
                <w:u w:val="none"/>
                <w:lang w:val="en-US" w:eastAsia="zh-CN"/>
              </w:rPr>
              <w:t>高邑县城乡居民基本医疗保险管理中心</w:t>
            </w:r>
          </w:p>
        </w:tc>
        <w:tc>
          <w:tcPr>
            <w:tcW w:w="112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60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77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72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781"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shd w:val="clear" w:color="auto" w:fill="auto"/>
          <w:tblCellMar>
            <w:top w:w="0" w:type="dxa"/>
            <w:left w:w="108" w:type="dxa"/>
            <w:bottom w:w="0" w:type="dxa"/>
            <w:right w:w="108" w:type="dxa"/>
          </w:tblCellMar>
        </w:tblPrEx>
        <w:trPr>
          <w:trHeight w:val="680"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4"/>
                <w:lang w:val="en-US" w:eastAsia="zh-CN" w:bidi="ar"/>
              </w:rPr>
              <w:t>一、</w:t>
            </w:r>
            <w:r>
              <w:rPr>
                <w:rStyle w:val="15"/>
                <w:rFonts w:eastAsia="宋体"/>
                <w:lang w:val="en-US" w:eastAsia="zh-CN" w:bidi="ar"/>
              </w:rPr>
              <w:t xml:space="preserve"> </w:t>
            </w:r>
            <w:r>
              <w:rPr>
                <w:rStyle w:val="14"/>
                <w:lang w:val="en-US" w:eastAsia="zh-CN" w:bidi="ar"/>
              </w:rPr>
              <w:t>基本情况</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县级财政补助居民医疗资金(为专项资金)</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28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高邑县城乡居民基本医疗保险管理中心</w:t>
            </w:r>
          </w:p>
        </w:tc>
      </w:tr>
      <w:tr>
        <w:tblPrEx>
          <w:shd w:val="clear" w:color="auto" w:fill="auto"/>
          <w:tblCellMar>
            <w:top w:w="0" w:type="dxa"/>
            <w:left w:w="108" w:type="dxa"/>
            <w:bottom w:w="0" w:type="dxa"/>
            <w:right w:w="108" w:type="dxa"/>
          </w:tblCellMar>
        </w:tblPrEx>
        <w:trPr>
          <w:trHeight w:val="42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37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3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预算执行进度100%</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（=执行数/预算数*100%）</w:t>
            </w:r>
          </w:p>
        </w:tc>
      </w:tr>
      <w:tr>
        <w:tblPrEx>
          <w:shd w:val="clear" w:color="auto" w:fill="auto"/>
          <w:tblCellMar>
            <w:top w:w="0" w:type="dxa"/>
            <w:left w:w="108" w:type="dxa"/>
            <w:bottom w:w="0" w:type="dxa"/>
            <w:right w:w="108" w:type="dxa"/>
          </w:tblCellMar>
        </w:tblPrEx>
        <w:trPr>
          <w:trHeight w:val="4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bookmarkStart w:id="0" w:name="_GoBack"/>
            <w:bookmarkEnd w:id="0"/>
            <w:r>
              <w:rPr>
                <w:rFonts w:hint="eastAsia" w:ascii="宋体" w:hAnsi="宋体" w:eastAsia="宋体" w:cs="宋体"/>
                <w:i w:val="0"/>
                <w:iCs w:val="0"/>
                <w:color w:val="000000"/>
                <w:kern w:val="0"/>
                <w:sz w:val="16"/>
                <w:szCs w:val="16"/>
                <w:u w:val="none"/>
                <w:lang w:val="en-US" w:eastAsia="zh-CN" w:bidi="ar"/>
              </w:rPr>
              <w:t>其中：财政资金</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1756.08</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7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43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2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shd w:val="clear" w:color="auto" w:fill="auto"/>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3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该资金统筹用于城乡居民参保人员基本医疗保险的补助，减轻农民负担，本单位按规定加强资金管理，确保专款专用。</w:t>
            </w:r>
          </w:p>
        </w:tc>
        <w:tc>
          <w:tcPr>
            <w:tcW w:w="227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3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5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3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15"/>
                <w:rFonts w:eastAsia="宋体"/>
                <w:lang w:val="en-US" w:eastAsia="zh-CN" w:bidi="ar"/>
              </w:rPr>
              <w:t xml:space="preserve"> </w:t>
            </w:r>
            <w:r>
              <w:rPr>
                <w:rStyle w:val="14"/>
                <w:lang w:val="en-US" w:eastAsia="zh-CN" w:bidi="ar"/>
              </w:rPr>
              <w:t>年度绩效指标完成情况</w:t>
            </w: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一级指标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3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shd w:val="clear" w:color="auto" w:fill="auto"/>
          <w:tblCellMar>
            <w:top w:w="0" w:type="dxa"/>
            <w:left w:w="108" w:type="dxa"/>
            <w:bottom w:w="0" w:type="dxa"/>
            <w:right w:w="108" w:type="dxa"/>
          </w:tblCellMar>
        </w:tblPrEx>
        <w:trPr>
          <w:trHeight w:val="5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3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参保人数</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177354人</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168853人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县级财政实际补助标准</w:t>
            </w:r>
          </w:p>
        </w:tc>
        <w:tc>
          <w:tcPr>
            <w:tcW w:w="72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104元</w:t>
            </w:r>
            <w:r>
              <w:rPr>
                <w:rStyle w:val="15"/>
                <w:rFonts w:eastAsia="宋体"/>
                <w:lang w:val="en-US" w:eastAsia="zh-CN" w:bidi="ar"/>
              </w:rPr>
              <w:t>/</w:t>
            </w:r>
            <w:r>
              <w:rPr>
                <w:rStyle w:val="16"/>
                <w:lang w:val="en-US" w:eastAsia="zh-CN" w:bidi="ar"/>
              </w:rPr>
              <w:t>人</w:t>
            </w:r>
          </w:p>
        </w:tc>
        <w:tc>
          <w:tcPr>
            <w:tcW w:w="78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104</w:t>
            </w:r>
            <w:r>
              <w:rPr>
                <w:rStyle w:val="16"/>
                <w:lang w:val="en-US" w:eastAsia="zh-CN" w:bidi="ar"/>
              </w:rPr>
              <w:t>元</w:t>
            </w:r>
            <w:r>
              <w:rPr>
                <w:rStyle w:val="17"/>
                <w:rFonts w:eastAsia="宋体"/>
                <w:lang w:val="en-US" w:eastAsia="zh-CN" w:bidi="ar"/>
              </w:rPr>
              <w:t>/</w:t>
            </w:r>
            <w:r>
              <w:rPr>
                <w:rStyle w:val="16"/>
                <w:lang w:val="en-US" w:eastAsia="zh-CN" w:bidi="ar"/>
              </w:rPr>
              <w:t>人</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8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3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基金滚存结余可支配月数</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≥6</w:t>
            </w:r>
            <w:r>
              <w:rPr>
                <w:rStyle w:val="16"/>
                <w:lang w:val="en-US" w:eastAsia="zh-CN" w:bidi="ar"/>
              </w:rPr>
              <w:t>个月</w:t>
            </w:r>
          </w:p>
        </w:tc>
        <w:tc>
          <w:tcPr>
            <w:tcW w:w="7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4.6</w:t>
            </w:r>
            <w:r>
              <w:rPr>
                <w:rStyle w:val="14"/>
                <w:lang w:val="en-US" w:eastAsia="zh-CN" w:bidi="ar"/>
              </w:rPr>
              <w:t>个月</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6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382"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医疗待遇报销及时率</w:t>
            </w:r>
          </w:p>
        </w:tc>
        <w:tc>
          <w:tcPr>
            <w:tcW w:w="720"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r>
              <w:rPr>
                <w:rStyle w:val="14"/>
                <w:lang w:val="en-US" w:eastAsia="zh-CN" w:bidi="ar"/>
              </w:rPr>
              <w:t>日</w:t>
            </w:r>
          </w:p>
        </w:tc>
        <w:tc>
          <w:tcPr>
            <w:tcW w:w="781"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≤15</w:t>
            </w:r>
            <w:r>
              <w:rPr>
                <w:rStyle w:val="14"/>
                <w:lang w:val="en-US" w:eastAsia="zh-CN" w:bidi="ar"/>
              </w:rPr>
              <w:t>日</w:t>
            </w:r>
          </w:p>
        </w:tc>
        <w:tc>
          <w:tcPr>
            <w:tcW w:w="1336"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w:t>
            </w:r>
            <w:r>
              <w:rPr>
                <w:rStyle w:val="14"/>
                <w:lang w:val="en-US" w:eastAsia="zh-CN" w:bidi="ar"/>
              </w:rPr>
              <w:t>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财政补助资金到位率</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312"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714"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382"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执行数/预算数的比例</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r>
      <w:tr>
        <w:tblPrEx>
          <w:shd w:val="clear" w:color="auto" w:fill="auto"/>
          <w:tblCellMar>
            <w:top w:w="0" w:type="dxa"/>
            <w:left w:w="108" w:type="dxa"/>
            <w:bottom w:w="0" w:type="dxa"/>
            <w:right w:w="108" w:type="dxa"/>
          </w:tblCellMar>
        </w:tblPrEx>
        <w:trPr>
          <w:trHeight w:val="803"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12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382"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享受财政补助覆盖面</w:t>
            </w:r>
          </w:p>
        </w:tc>
        <w:tc>
          <w:tcPr>
            <w:tcW w:w="720" w:type="dxa"/>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78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restart"/>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3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居民对政策的知晓率</w:t>
            </w:r>
          </w:p>
        </w:tc>
        <w:tc>
          <w:tcPr>
            <w:tcW w:w="72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7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33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nil"/>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12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382" w:type="dxa"/>
            <w:gridSpan w:val="2"/>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参保对象满意度</w:t>
            </w:r>
          </w:p>
        </w:tc>
        <w:tc>
          <w:tcPr>
            <w:tcW w:w="72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78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33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7分</w:t>
            </w: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82" w:type="dxa"/>
            <w:gridSpan w:val="2"/>
            <w:vMerge w:val="continue"/>
            <w:tcBorders>
              <w:top w:val="nil"/>
              <w:left w:val="single" w:color="000000" w:sz="4" w:space="0"/>
              <w:bottom w:val="nil"/>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78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61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89分</w:t>
            </w:r>
          </w:p>
        </w:tc>
      </w:tr>
      <w:tr>
        <w:tblPrEx>
          <w:shd w:val="clear" w:color="auto" w:fill="auto"/>
          <w:tblCellMar>
            <w:top w:w="0" w:type="dxa"/>
            <w:left w:w="108" w:type="dxa"/>
            <w:bottom w:w="0" w:type="dxa"/>
            <w:right w:w="108" w:type="dxa"/>
          </w:tblCellMar>
        </w:tblPrEx>
        <w:trPr>
          <w:trHeight w:val="860"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15"/>
                <w:rFonts w:eastAsia="宋体"/>
                <w:lang w:val="en-US" w:eastAsia="zh-CN" w:bidi="ar"/>
              </w:rPr>
              <w:t xml:space="preserve"> </w:t>
            </w:r>
            <w:r>
              <w:rPr>
                <w:rStyle w:val="14"/>
                <w:lang w:val="en-US" w:eastAsia="zh-CN" w:bidi="ar"/>
              </w:rPr>
              <w:t>存在问题、原因及下一步整改措施</w:t>
            </w:r>
          </w:p>
        </w:tc>
        <w:tc>
          <w:tcPr>
            <w:tcW w:w="795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居民参保人数预期参保177354人，实际参保168853人，因一部分人户口迁移，一部分人终止居民参加职工医保；预算数1950.89万元，财政补助标准由110元/人，调整为104元/人，调整预算为1756.08万元。</w:t>
            </w:r>
          </w:p>
        </w:tc>
      </w:tr>
    </w:tbl>
    <w:p>
      <w:pPr>
        <w:keepNext/>
        <w:keepLines/>
        <w:snapToGrid w:val="0"/>
        <w:spacing w:line="580" w:lineRule="exact"/>
        <w:ind w:firstLine="640" w:firstLineChars="200"/>
        <w:outlineLvl w:val="1"/>
        <w:rPr>
          <w:rFonts w:hint="eastAsia" w:ascii="黑体" w:hAnsi="Calibri" w:eastAsia="黑体"/>
          <w:sz w:val="32"/>
          <w:szCs w:val="3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none"/>
        </w:rPr>
        <w:t>本部门2019年度机关运行经费支出</w:t>
      </w:r>
      <w:r>
        <w:rPr>
          <w:rFonts w:hint="eastAsia" w:ascii="仿宋_GB2312" w:hAnsi="Times New Roman" w:eastAsia="仿宋_GB2312" w:cs="DengXian-Regular"/>
          <w:sz w:val="32"/>
          <w:szCs w:val="32"/>
          <w:highlight w:val="none"/>
          <w:lang w:val="en-US" w:eastAsia="zh-CN"/>
        </w:rPr>
        <w:t>33.3</w:t>
      </w:r>
      <w:r>
        <w:rPr>
          <w:rFonts w:hint="eastAsia" w:ascii="仿宋_GB2312" w:hAnsi="Times New Roman" w:eastAsia="仿宋_GB2312" w:cs="DengXian-Regular"/>
          <w:sz w:val="32"/>
          <w:szCs w:val="32"/>
          <w:highlight w:val="none"/>
        </w:rPr>
        <w:t>万元，比2018年度增加</w:t>
      </w:r>
      <w:r>
        <w:rPr>
          <w:rFonts w:hint="eastAsia" w:ascii="仿宋_GB2312" w:hAnsi="Times New Roman" w:eastAsia="仿宋_GB2312" w:cs="DengXian-Regular"/>
          <w:sz w:val="32"/>
          <w:szCs w:val="32"/>
          <w:highlight w:val="none"/>
          <w:lang w:val="en-US" w:eastAsia="zh-CN"/>
        </w:rPr>
        <w:t>33.3</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100</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本部门于2019年成立，2018年无数据</w:t>
      </w:r>
      <w:r>
        <w:rPr>
          <w:rFonts w:hint="eastAsia" w:ascii="仿宋_GB2312" w:hAnsi="Times New Roman" w:eastAsia="仿宋_GB2312" w:cs="DengXian-Regular"/>
          <w:sz w:val="32"/>
          <w:szCs w:val="32"/>
          <w:highlight w:val="none"/>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本部门于2019年成立，无公车，2018年无数据</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无其他用车。</w:t>
      </w:r>
    </w:p>
    <w:p>
      <w:pPr>
        <w:keepNext/>
        <w:keepLines/>
        <w:snapToGrid w:val="0"/>
        <w:spacing w:line="580" w:lineRule="exact"/>
        <w:ind w:firstLine="640" w:firstLineChars="200"/>
        <w:outlineLvl w:val="2"/>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本部门于2019年成立，2018年无数据</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本部门于2019年新成立，2018年无数据</w:t>
      </w:r>
      <w:r>
        <w:rPr>
          <w:rFonts w:hint="eastAsia" w:ascii="仿宋_GB2312" w:hAnsi="Times New Roman" w:eastAsia="仿宋_GB2312" w:cs="DengXian-Regular"/>
          <w:sz w:val="32"/>
          <w:szCs w:val="32"/>
        </w:rPr>
        <w:t>。</w:t>
      </w:r>
    </w:p>
    <w:p>
      <w:pPr>
        <w:keepNext/>
        <w:keepLines/>
        <w:snapToGrid w:val="0"/>
        <w:spacing w:line="580" w:lineRule="exact"/>
        <w:ind w:firstLine="321" w:firstLineChars="1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1、本部门201</w:t>
      </w:r>
      <w:r>
        <w:rPr>
          <w:rFonts w:hint="eastAsia" w:ascii="仿宋" w:hAnsi="仿宋" w:eastAsia="仿宋" w:cs="仿宋"/>
          <w:sz w:val="32"/>
          <w:szCs w:val="32"/>
          <w:lang w:val="en-US" w:eastAsia="zh-CN"/>
        </w:rPr>
        <w:t>9</w:t>
      </w:r>
      <w:r>
        <w:rPr>
          <w:rFonts w:hint="eastAsia" w:ascii="仿宋" w:hAnsi="仿宋" w:eastAsia="仿宋" w:cs="仿宋"/>
          <w:sz w:val="32"/>
          <w:szCs w:val="32"/>
        </w:rPr>
        <w:t>年度</w:t>
      </w:r>
      <w:r>
        <w:rPr>
          <w:rFonts w:hint="eastAsia" w:ascii="仿宋" w:hAnsi="仿宋" w:eastAsia="仿宋" w:cs="仿宋"/>
          <w:sz w:val="32"/>
          <w:szCs w:val="32"/>
          <w:lang w:eastAsia="zh-CN"/>
        </w:rPr>
        <w:t>国有资本经营预算</w:t>
      </w:r>
      <w:r>
        <w:rPr>
          <w:rFonts w:hint="eastAsia" w:ascii="仿宋" w:hAnsi="仿宋" w:eastAsia="仿宋" w:cs="仿宋"/>
          <w:sz w:val="32"/>
          <w:szCs w:val="32"/>
          <w:lang w:val="en-US" w:eastAsia="zh-CN"/>
        </w:rPr>
        <w:t>财政拨款支出</w:t>
      </w:r>
      <w:r>
        <w:rPr>
          <w:rFonts w:hint="eastAsia" w:ascii="仿宋" w:hAnsi="仿宋" w:eastAsia="仿宋" w:cs="仿宋"/>
          <w:sz w:val="32"/>
          <w:szCs w:val="32"/>
          <w:lang w:eastAsia="zh-CN"/>
        </w:rPr>
        <w:t>决算表</w:t>
      </w:r>
      <w:r>
        <w:rPr>
          <w:rFonts w:hint="eastAsia" w:ascii="仿宋" w:hAnsi="仿宋" w:eastAsia="仿宋" w:cs="仿宋"/>
          <w:sz w:val="32"/>
          <w:szCs w:val="32"/>
        </w:rPr>
        <w:t>无收支及结转结余情况，故</w:t>
      </w:r>
      <w:r>
        <w:rPr>
          <w:rFonts w:hint="eastAsia" w:ascii="仿宋" w:hAnsi="仿宋" w:eastAsia="仿宋" w:cs="仿宋"/>
          <w:sz w:val="32"/>
          <w:szCs w:val="32"/>
          <w:lang w:eastAsia="zh-CN"/>
        </w:rPr>
        <w:t>国有资本经营预算财政拨款支出决算表</w:t>
      </w:r>
      <w:r>
        <w:rPr>
          <w:rFonts w:hint="eastAsia" w:ascii="仿宋" w:hAnsi="仿宋" w:eastAsia="仿宋" w:cs="仿宋"/>
          <w:sz w:val="32"/>
          <w:szCs w:val="32"/>
        </w:rPr>
        <w:t>以空表列示</w:t>
      </w:r>
      <w:r>
        <w:rPr>
          <w:rFonts w:hint="eastAsia" w:ascii="仿宋" w:hAnsi="仿宋" w:eastAsia="仿宋" w:cs="仿宋"/>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31"/>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pPr>
    </w:p>
    <w:p>
      <w:pPr>
        <w:tabs>
          <w:tab w:val="left" w:pos="235"/>
        </w:tabs>
        <w:jc w:val="left"/>
        <w:rPr>
          <w:sz w:val="72"/>
        </w:r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pPr>
                              <w:widowControl/>
                              <w:jc w:val="center"/>
                              <w:rPr>
                                <w:rFonts w:hint="eastAsia" w:eastAsia="黑体"/>
                                <w:lang w:eastAsia="zh-CN"/>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31"/>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pPr>
                        <w:widowControl/>
                        <w:jc w:val="center"/>
                        <w:rPr>
                          <w:rFonts w:hint="eastAsia" w:eastAsia="黑体"/>
                          <w:lang w:eastAsia="zh-CN"/>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bidi w:val="0"/>
        <w:rPr>
          <w:rFonts w:asciiTheme="minorHAnsi" w:hAnsiTheme="minorHAnsi" w:eastAsiaTheme="minorEastAsia" w:cstheme="minorBidi"/>
          <w:kern w:val="2"/>
          <w:sz w:val="21"/>
          <w:szCs w:val="22"/>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widowControl/>
        <w:spacing w:after="160" w:line="580" w:lineRule="exact"/>
        <w:ind w:left="640"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一、收入支出决算总表（公开01表）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02表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03表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04表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05表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06表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w:t>
      </w:r>
      <w:r>
        <w:rPr>
          <w:rFonts w:hint="eastAsia" w:ascii="Times New Roman" w:hAnsi="Times New Roman" w:eastAsia="仿宋_GB2312" w:cs="Times New Roman"/>
          <w:sz w:val="32"/>
          <w:szCs w:val="32"/>
        </w:rPr>
        <w:t>一般公共预算财政拨款</w:t>
      </w:r>
      <w:r>
        <w:rPr>
          <w:rFonts w:ascii="Times New Roman" w:hAnsi="Times New Roman" w:eastAsia="仿宋_GB2312" w:cs="Times New Roman"/>
          <w:sz w:val="32"/>
          <w:szCs w:val="32"/>
        </w:rPr>
        <w:t>“三公”经费</w:t>
      </w:r>
      <w:r>
        <w:rPr>
          <w:rFonts w:hint="eastAsia" w:ascii="Times New Roman" w:hAnsi="Times New Roman" w:eastAsia="仿宋_GB2312" w:cs="Times New Roman"/>
          <w:sz w:val="32"/>
          <w:szCs w:val="32"/>
        </w:rPr>
        <w:t>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07表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政府性基金预算财政拨款收入支出决算表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08表</w:t>
      </w:r>
      <w:r>
        <w:rPr>
          <w:rFonts w:hint="eastAsia" w:ascii="Times New Roman" w:hAnsi="Times New Roman" w:eastAsia="仿宋_GB2312" w:cs="Times New Roman"/>
          <w:sz w:val="32"/>
          <w:szCs w:val="32"/>
          <w:lang w:eastAsia="zh-CN"/>
        </w:rPr>
        <w:t>）</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w:t>
      </w:r>
      <w:r>
        <w:rPr>
          <w:rFonts w:ascii="Times New Roman" w:hAnsi="Times New Roman" w:eastAsia="仿宋_GB2312" w:cs="Times New Roman"/>
          <w:sz w:val="32"/>
          <w:szCs w:val="32"/>
        </w:rPr>
        <w:t>、国有资本经营预算</w:t>
      </w:r>
      <w:r>
        <w:rPr>
          <w:rFonts w:hint="eastAsia" w:ascii="Times New Roman" w:hAnsi="Times New Roman" w:eastAsia="仿宋_GB2312" w:cs="Times New Roman"/>
          <w:sz w:val="32"/>
          <w:szCs w:val="32"/>
        </w:rPr>
        <w:t>财政拨款</w:t>
      </w:r>
      <w:r>
        <w:rPr>
          <w:rFonts w:ascii="Times New Roman" w:hAnsi="Times New Roman" w:eastAsia="仿宋_GB2312" w:cs="Times New Roman"/>
          <w:sz w:val="32"/>
          <w:szCs w:val="32"/>
        </w:rPr>
        <w:t>支出决算表</w:t>
      </w:r>
      <w:r>
        <w:rPr>
          <w:rFonts w:hint="eastAsia" w:ascii="Times New Roman" w:hAnsi="Times New Roman" w:eastAsia="仿宋_GB2312" w:cs="Times New Roman"/>
          <w:sz w:val="32"/>
          <w:szCs w:val="32"/>
          <w:lang w:eastAsia="zh-CN"/>
        </w:rPr>
        <w:t>（公开</w:t>
      </w:r>
      <w:r>
        <w:rPr>
          <w:rFonts w:hint="eastAsia" w:ascii="Times New Roman" w:hAnsi="Times New Roman" w:eastAsia="仿宋_GB2312" w:cs="Times New Roman"/>
          <w:sz w:val="32"/>
          <w:szCs w:val="32"/>
          <w:lang w:val="en-US" w:eastAsia="zh-CN"/>
        </w:rPr>
        <w:t>09表</w:t>
      </w:r>
      <w:r>
        <w:rPr>
          <w:rFonts w:hint="eastAsia" w:ascii="Times New Roman" w:hAnsi="Times New Roman" w:eastAsia="仿宋_GB2312" w:cs="Times New Roman"/>
          <w:sz w:val="32"/>
          <w:szCs w:val="32"/>
          <w:lang w:eastAsia="zh-CN"/>
        </w:rPr>
        <w:t>）</w:t>
      </w:r>
    </w:p>
    <w:p>
      <w:pPr>
        <w:widowControl/>
        <w:spacing w:after="160" w:line="580" w:lineRule="exact"/>
        <w:ind w:firstLine="640" w:firstLineChars="200"/>
        <w:rPr>
          <w:rFonts w:hint="eastAsia" w:ascii="Times New Roman" w:hAnsi="Times New Roman" w:eastAsia="仿宋_GB2312" w:cs="Times New Roman"/>
          <w:sz w:val="32"/>
          <w:szCs w:val="32"/>
          <w:lang w:eastAsia="zh-CN"/>
        </w:rPr>
        <w:sectPr>
          <w:headerReference r:id="rId24" w:type="first"/>
          <w:footerReference r:id="rId26" w:type="first"/>
          <w:headerReference r:id="rId23" w:type="default"/>
          <w:footerReference r:id="rId25" w:type="default"/>
          <w:pgSz w:w="11906" w:h="16838"/>
          <w:pgMar w:top="2041" w:right="1531" w:bottom="2041" w:left="1531" w:header="851" w:footer="992" w:gutter="0"/>
          <w:cols w:space="0" w:num="1"/>
          <w:titlePg/>
          <w:docGrid w:type="lines" w:linePitch="312" w:charSpace="0"/>
        </w:sectPr>
      </w:pPr>
      <w:r>
        <w:rPr>
          <w:rFonts w:hint="eastAsia" w:ascii="Times New Roman" w:hAnsi="Times New Roman" w:eastAsia="仿宋_GB2312" w:cs="Times New Roman"/>
          <w:sz w:val="32"/>
          <w:szCs w:val="32"/>
          <w:lang w:eastAsia="zh-CN"/>
        </w:rPr>
        <w:t>详见附表：《高邑县</w:t>
      </w:r>
      <w:r>
        <w:rPr>
          <w:rFonts w:hint="eastAsia" w:ascii="Times New Roman" w:hAnsi="Times New Roman" w:eastAsia="仿宋_GB2312" w:cs="Times New Roman"/>
          <w:sz w:val="32"/>
          <w:szCs w:val="32"/>
          <w:lang w:val="en-US" w:eastAsia="zh-CN"/>
        </w:rPr>
        <w:t>医疗保障局2019年部门决算公开表</w:t>
      </w:r>
      <w:r>
        <w:rPr>
          <w:rFonts w:hint="eastAsia" w:ascii="Times New Roman" w:hAnsi="Times New Roman" w:eastAsia="仿宋_GB2312" w:cs="Times New Roman"/>
          <w:sz w:val="32"/>
          <w:szCs w:val="32"/>
          <w:lang w:eastAsia="zh-CN"/>
        </w:rPr>
        <w:t>》</w:t>
      </w:r>
    </w:p>
    <w:p>
      <w:pPr>
        <w:tabs>
          <w:tab w:val="left" w:pos="886"/>
        </w:tabs>
        <w:jc w:val="left"/>
      </w:pP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3B4A51"/>
    <w:multiLevelType w:val="singleLevel"/>
    <w:tmpl w:val="A53B4A51"/>
    <w:lvl w:ilvl="0" w:tentative="0">
      <w:start w:val="3"/>
      <w:numFmt w:val="chineseCounting"/>
      <w:suff w:val="nothing"/>
      <w:lvlText w:val="%1、"/>
      <w:lvlJc w:val="left"/>
      <w:rPr>
        <w:rFonts w:hint="eastAsia"/>
      </w:rPr>
    </w:lvl>
  </w:abstractNum>
  <w:abstractNum w:abstractNumId="1">
    <w:nsid w:val="A86DD4A6"/>
    <w:multiLevelType w:val="singleLevel"/>
    <w:tmpl w:val="A86DD4A6"/>
    <w:lvl w:ilvl="0" w:tentative="0">
      <w:start w:val="3"/>
      <w:numFmt w:val="decimal"/>
      <w:suff w:val="nothing"/>
      <w:lvlText w:val="%1、"/>
      <w:lvlJc w:val="left"/>
    </w:lvl>
  </w:abstractNum>
  <w:abstractNum w:abstractNumId="2">
    <w:nsid w:val="1827115C"/>
    <w:multiLevelType w:val="singleLevel"/>
    <w:tmpl w:val="1827115C"/>
    <w:lvl w:ilvl="0" w:tentative="0">
      <w:start w:val="1"/>
      <w:numFmt w:val="decimal"/>
      <w:suff w:val="nothing"/>
      <w:lvlText w:val="（%1）"/>
      <w:lvlJc w:val="left"/>
    </w:lvl>
  </w:abstractNum>
  <w:abstractNum w:abstractNumId="3">
    <w:nsid w:val="45DB9A87"/>
    <w:multiLevelType w:val="singleLevel"/>
    <w:tmpl w:val="45DB9A87"/>
    <w:lvl w:ilvl="0" w:tentative="0">
      <w:start w:val="3"/>
      <w:numFmt w:val="chineseCounting"/>
      <w:suff w:val="nothing"/>
      <w:lvlText w:val="（%1）"/>
      <w:lvlJc w:val="left"/>
      <w:rPr>
        <w:rFonts w:hint="eastAsia"/>
      </w:rPr>
    </w:lvl>
  </w:abstractNum>
  <w:abstractNum w:abstractNumId="4">
    <w:nsid w:val="59950409"/>
    <w:multiLevelType w:val="singleLevel"/>
    <w:tmpl w:val="59950409"/>
    <w:lvl w:ilvl="0" w:tentative="0">
      <w:start w:val="1"/>
      <w:numFmt w:val="decimal"/>
      <w:suff w:val="space"/>
      <w:lvlText w:val="%1."/>
      <w:lvlJc w:val="left"/>
    </w:lvl>
  </w:abstractNum>
  <w:abstractNum w:abstractNumId="5">
    <w:nsid w:val="5F9BCE06"/>
    <w:multiLevelType w:val="singleLevel"/>
    <w:tmpl w:val="5F9BCE06"/>
    <w:lvl w:ilvl="0" w:tentative="0">
      <w:start w:val="2"/>
      <w:numFmt w:val="decimal"/>
      <w:suff w:val="space"/>
      <w:lvlText w:val="%1."/>
      <w:lvlJc w:val="left"/>
    </w:lvl>
  </w:abstractNum>
  <w:abstractNum w:abstractNumId="6">
    <w:nsid w:val="78C1413D"/>
    <w:multiLevelType w:val="singleLevel"/>
    <w:tmpl w:val="78C1413D"/>
    <w:lvl w:ilvl="0" w:tentative="0">
      <w:start w:val="1"/>
      <w:numFmt w:val="decimal"/>
      <w:suff w:val="space"/>
      <w:lvlText w:val="%1."/>
      <w:lvlJc w:val="left"/>
    </w:lvl>
  </w:abstractNum>
  <w:num w:numId="1">
    <w:abstractNumId w:val="0"/>
  </w:num>
  <w:num w:numId="2">
    <w:abstractNumId w:val="6"/>
  </w:num>
  <w:num w:numId="3">
    <w:abstractNumId w:val="4"/>
  </w:num>
  <w:num w:numId="4">
    <w:abstractNumId w:val="3"/>
  </w:num>
  <w:num w:numId="5">
    <w:abstractNumId w:val="5"/>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32EF"/>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34219F"/>
    <w:rsid w:val="02566E8A"/>
    <w:rsid w:val="02AA067A"/>
    <w:rsid w:val="03122EF1"/>
    <w:rsid w:val="05B00A30"/>
    <w:rsid w:val="071E5CF4"/>
    <w:rsid w:val="074564DD"/>
    <w:rsid w:val="09D90F72"/>
    <w:rsid w:val="0B011416"/>
    <w:rsid w:val="0BE93A03"/>
    <w:rsid w:val="119D35F0"/>
    <w:rsid w:val="12B73683"/>
    <w:rsid w:val="13DD5DEF"/>
    <w:rsid w:val="14147649"/>
    <w:rsid w:val="15C85C8A"/>
    <w:rsid w:val="15FA781D"/>
    <w:rsid w:val="16923A19"/>
    <w:rsid w:val="17B60D58"/>
    <w:rsid w:val="17BE1962"/>
    <w:rsid w:val="19A144D5"/>
    <w:rsid w:val="1A1448DB"/>
    <w:rsid w:val="1ABA7A58"/>
    <w:rsid w:val="1E3524DC"/>
    <w:rsid w:val="1E6711C2"/>
    <w:rsid w:val="1FE443FD"/>
    <w:rsid w:val="21016293"/>
    <w:rsid w:val="212047FE"/>
    <w:rsid w:val="2134023C"/>
    <w:rsid w:val="22B152BF"/>
    <w:rsid w:val="22CB1051"/>
    <w:rsid w:val="26F56601"/>
    <w:rsid w:val="29875F30"/>
    <w:rsid w:val="29FB1EBA"/>
    <w:rsid w:val="2AA42DD6"/>
    <w:rsid w:val="2AC97216"/>
    <w:rsid w:val="2BAC267D"/>
    <w:rsid w:val="2C1D5C5E"/>
    <w:rsid w:val="2D9A2668"/>
    <w:rsid w:val="2DA91E64"/>
    <w:rsid w:val="2E990F3B"/>
    <w:rsid w:val="31C2036A"/>
    <w:rsid w:val="31D20393"/>
    <w:rsid w:val="320D02A5"/>
    <w:rsid w:val="32BF769A"/>
    <w:rsid w:val="348E566F"/>
    <w:rsid w:val="34DD171C"/>
    <w:rsid w:val="34ED127C"/>
    <w:rsid w:val="356466DE"/>
    <w:rsid w:val="37FD3C9E"/>
    <w:rsid w:val="382101A1"/>
    <w:rsid w:val="384E357F"/>
    <w:rsid w:val="39DE03C5"/>
    <w:rsid w:val="3A226944"/>
    <w:rsid w:val="3A335689"/>
    <w:rsid w:val="3AEE6A48"/>
    <w:rsid w:val="3C1620AA"/>
    <w:rsid w:val="3CEF436F"/>
    <w:rsid w:val="3D8D7852"/>
    <w:rsid w:val="3D8F080F"/>
    <w:rsid w:val="3E4D7B46"/>
    <w:rsid w:val="3F4F7955"/>
    <w:rsid w:val="41325A38"/>
    <w:rsid w:val="42212A6D"/>
    <w:rsid w:val="4277003F"/>
    <w:rsid w:val="437A71BB"/>
    <w:rsid w:val="437E37DE"/>
    <w:rsid w:val="43CB7A92"/>
    <w:rsid w:val="43E47CAC"/>
    <w:rsid w:val="443F605B"/>
    <w:rsid w:val="44CE1FA4"/>
    <w:rsid w:val="44E32829"/>
    <w:rsid w:val="44F014F7"/>
    <w:rsid w:val="45E2245B"/>
    <w:rsid w:val="470F0D3D"/>
    <w:rsid w:val="487A6031"/>
    <w:rsid w:val="487F73ED"/>
    <w:rsid w:val="488D4BAA"/>
    <w:rsid w:val="4A347EAE"/>
    <w:rsid w:val="4B204680"/>
    <w:rsid w:val="4BA74CBB"/>
    <w:rsid w:val="4C885A59"/>
    <w:rsid w:val="4CAA7E7F"/>
    <w:rsid w:val="4F30209B"/>
    <w:rsid w:val="50DA4953"/>
    <w:rsid w:val="50E34DAA"/>
    <w:rsid w:val="52432F34"/>
    <w:rsid w:val="52600405"/>
    <w:rsid w:val="529B4319"/>
    <w:rsid w:val="52CE5194"/>
    <w:rsid w:val="53E81BE2"/>
    <w:rsid w:val="550D4885"/>
    <w:rsid w:val="57534DD1"/>
    <w:rsid w:val="57605766"/>
    <w:rsid w:val="57773DD6"/>
    <w:rsid w:val="578B79AB"/>
    <w:rsid w:val="58024228"/>
    <w:rsid w:val="594260E3"/>
    <w:rsid w:val="5964254E"/>
    <w:rsid w:val="59EF7B66"/>
    <w:rsid w:val="59FE7F08"/>
    <w:rsid w:val="5A620521"/>
    <w:rsid w:val="5B5C43D1"/>
    <w:rsid w:val="5CCD3FD5"/>
    <w:rsid w:val="5D9012F5"/>
    <w:rsid w:val="5FE83991"/>
    <w:rsid w:val="61FA5F9D"/>
    <w:rsid w:val="622B4AF9"/>
    <w:rsid w:val="643A1EB7"/>
    <w:rsid w:val="64CD6910"/>
    <w:rsid w:val="658B007A"/>
    <w:rsid w:val="659C7713"/>
    <w:rsid w:val="663A139E"/>
    <w:rsid w:val="6789158D"/>
    <w:rsid w:val="67AD4078"/>
    <w:rsid w:val="67D81BA4"/>
    <w:rsid w:val="6A305067"/>
    <w:rsid w:val="6AAF1C96"/>
    <w:rsid w:val="6B413377"/>
    <w:rsid w:val="6BD65D2E"/>
    <w:rsid w:val="6C6515D8"/>
    <w:rsid w:val="71783EBA"/>
    <w:rsid w:val="726C3331"/>
    <w:rsid w:val="728827DE"/>
    <w:rsid w:val="72F025CD"/>
    <w:rsid w:val="73947A8D"/>
    <w:rsid w:val="745F628A"/>
    <w:rsid w:val="74803779"/>
    <w:rsid w:val="75681757"/>
    <w:rsid w:val="75A346A8"/>
    <w:rsid w:val="761A1E13"/>
    <w:rsid w:val="762D7928"/>
    <w:rsid w:val="77556B61"/>
    <w:rsid w:val="783D1A8B"/>
    <w:rsid w:val="78EB61C3"/>
    <w:rsid w:val="796D1D15"/>
    <w:rsid w:val="79B9382C"/>
    <w:rsid w:val="7A9E384D"/>
    <w:rsid w:val="7B043B76"/>
    <w:rsid w:val="7C041A6A"/>
    <w:rsid w:val="7E327570"/>
    <w:rsid w:val="7E5445CE"/>
    <w:rsid w:val="7EC24F6E"/>
    <w:rsid w:val="7FD428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spacing w:before="100" w:beforeAutospacing="1"/>
      <w:ind w:firstLine="420" w:firstLineChars="200"/>
    </w:pPr>
  </w:style>
  <w:style w:type="paragraph" w:styleId="3">
    <w:name w:val="Body Text Indent"/>
    <w:basedOn w:val="1"/>
    <w:qFormat/>
    <w:uiPriority w:val="99"/>
    <w:pPr>
      <w:spacing w:after="120"/>
      <w:ind w:left="420" w:leftChars="200"/>
    </w:pPr>
  </w:style>
  <w:style w:type="paragraph" w:styleId="5">
    <w:name w:val="Body Text"/>
    <w:basedOn w:val="1"/>
    <w:unhideWhenUsed/>
    <w:qFormat/>
    <w:uiPriority w:val="99"/>
    <w:rPr>
      <w:rFonts w:ascii="仿宋_GB2312" w:hAnsi="仿宋_GB2312" w:eastAsia="仿宋_GB2312" w:cs="仿宋_GB2312"/>
      <w:sz w:val="32"/>
      <w:szCs w:val="32"/>
      <w:lang w:val="zh-CN" w:bidi="zh-CN"/>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font51"/>
    <w:basedOn w:val="10"/>
    <w:qFormat/>
    <w:uiPriority w:val="0"/>
    <w:rPr>
      <w:rFonts w:hint="eastAsia" w:ascii="宋体" w:hAnsi="宋体" w:eastAsia="宋体" w:cs="宋体"/>
      <w:color w:val="000000"/>
      <w:sz w:val="16"/>
      <w:szCs w:val="16"/>
      <w:u w:val="none"/>
    </w:rPr>
  </w:style>
  <w:style w:type="character" w:customStyle="1" w:styleId="15">
    <w:name w:val="font61"/>
    <w:basedOn w:val="10"/>
    <w:qFormat/>
    <w:uiPriority w:val="0"/>
    <w:rPr>
      <w:rFonts w:ascii="Calibri" w:hAnsi="Calibri" w:cs="Calibri"/>
      <w:color w:val="000000"/>
      <w:sz w:val="16"/>
      <w:szCs w:val="16"/>
      <w:u w:val="none"/>
    </w:rPr>
  </w:style>
  <w:style w:type="character" w:customStyle="1" w:styleId="16">
    <w:name w:val="font91"/>
    <w:basedOn w:val="10"/>
    <w:qFormat/>
    <w:uiPriority w:val="0"/>
    <w:rPr>
      <w:rFonts w:hint="eastAsia" w:ascii="宋体" w:hAnsi="宋体" w:eastAsia="宋体" w:cs="宋体"/>
      <w:color w:val="000000"/>
      <w:sz w:val="16"/>
      <w:szCs w:val="16"/>
      <w:u w:val="none"/>
    </w:rPr>
  </w:style>
  <w:style w:type="character" w:customStyle="1" w:styleId="17">
    <w:name w:val="font101"/>
    <w:basedOn w:val="10"/>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3.png"/><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footer" Target="footer10.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Desktop\&#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Desktop\&#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elete val="1"/>
          </c:dLbls>
          <c:cat>
            <c:strRef>
              <c:f>[工作簿1]Sheet1!$D$13:$D$15</c:f>
              <c:strCache>
                <c:ptCount val="3"/>
                <c:pt idx="0">
                  <c:v>基本支出</c:v>
                </c:pt>
                <c:pt idx="1">
                  <c:v>项目支出</c:v>
                </c:pt>
                <c:pt idx="2">
                  <c:v>经营支出</c:v>
                </c:pt>
              </c:strCache>
            </c:strRef>
          </c:cat>
          <c:val>
            <c:numRef>
              <c:f>[工作簿1]Sheet1!$E$13:$E$15</c:f>
              <c:numCache>
                <c:formatCode>General</c:formatCode>
                <c:ptCount val="3"/>
                <c:pt idx="0">
                  <c:v>133.19</c:v>
                </c:pt>
                <c:pt idx="1">
                  <c:v>12056.14</c:v>
                </c:pt>
                <c:pt idx="2">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a:t>
            </a:r>
            <a:r>
              <a:rPr lang="en-US" altLang="zh-CN"/>
              <a:t>2018</a:t>
            </a:r>
            <a:r>
              <a:rPr altLang="en-US"/>
              <a:t>年度决算对比情况</a:t>
            </a:r>
            <a:endParaRPr lang="en-US" altLang="zh-CN"/>
          </a:p>
        </c:rich>
      </c:tx>
      <c:layout/>
      <c:overlay val="0"/>
      <c:spPr>
        <a:noFill/>
        <a:ln>
          <a:noFill/>
        </a:ln>
        <a:effectLst/>
      </c:spPr>
    </c:title>
    <c:autoTitleDeleted val="0"/>
    <c:plotArea>
      <c:layout>
        <c:manualLayout>
          <c:layoutTarget val="inner"/>
          <c:xMode val="edge"/>
          <c:yMode val="edge"/>
          <c:x val="0.107027777777778"/>
          <c:y val="0.179861111111111"/>
          <c:w val="0.866583333333333"/>
          <c:h val="0.607268518518518"/>
        </c:manualLayout>
      </c:layout>
      <c:barChart>
        <c:barDir val="col"/>
        <c:grouping val="clustered"/>
        <c:varyColors val="0"/>
        <c:ser>
          <c:idx val="0"/>
          <c:order val="0"/>
          <c:tx>
            <c:strRef>
              <c:f>'[新建 XLS 工作表.xls]Sheet1'!$D$5</c:f>
              <c:strCache>
                <c:ptCount val="1"/>
                <c:pt idx="0">
                  <c:v>2018年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工作表.xls]Sheet1'!$E$4:$F$4</c:f>
              <c:strCache>
                <c:ptCount val="2"/>
                <c:pt idx="0">
                  <c:v>收入</c:v>
                </c:pt>
                <c:pt idx="1">
                  <c:v>支出</c:v>
                </c:pt>
              </c:strCache>
            </c:strRef>
          </c:cat>
          <c:val>
            <c:numRef>
              <c:f>'[新建 XLS 工作表.xls]Sheet1'!$E$5:$F$5</c:f>
              <c:numCache>
                <c:formatCode>General</c:formatCode>
                <c:ptCount val="2"/>
                <c:pt idx="0">
                  <c:v>0</c:v>
                </c:pt>
                <c:pt idx="1">
                  <c:v>0</c:v>
                </c:pt>
              </c:numCache>
            </c:numRef>
          </c:val>
        </c:ser>
        <c:ser>
          <c:idx val="1"/>
          <c:order val="1"/>
          <c:tx>
            <c:strRef>
              <c:f>'[新建 XLS 工作表.xls]Sheet1'!$D$6</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工作表.xls]Sheet1'!$E$4:$F$4</c:f>
              <c:strCache>
                <c:ptCount val="2"/>
                <c:pt idx="0">
                  <c:v>收入</c:v>
                </c:pt>
                <c:pt idx="1">
                  <c:v>支出</c:v>
                </c:pt>
              </c:strCache>
            </c:strRef>
          </c:cat>
          <c:val>
            <c:numRef>
              <c:f>'[新建 XLS 工作表.xls]Sheet1'!$E$6:$F$6</c:f>
              <c:numCache>
                <c:formatCode>General</c:formatCode>
                <c:ptCount val="2"/>
                <c:pt idx="0">
                  <c:v>11482.75</c:v>
                </c:pt>
                <c:pt idx="1">
                  <c:v>12189.33</c:v>
                </c:pt>
              </c:numCache>
            </c:numRef>
          </c:val>
        </c:ser>
        <c:dLbls>
          <c:showLegendKey val="0"/>
          <c:showVal val="1"/>
          <c:showCatName val="0"/>
          <c:showSerName val="0"/>
          <c:showPercent val="0"/>
          <c:showBubbleSize val="0"/>
        </c:dLbls>
        <c:gapWidth val="219"/>
        <c:overlap val="-27"/>
        <c:axId val="676415243"/>
        <c:axId val="49837579"/>
      </c:barChart>
      <c:catAx>
        <c:axId val="67641524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837579"/>
        <c:crosses val="autoZero"/>
        <c:auto val="1"/>
        <c:lblAlgn val="ctr"/>
        <c:lblOffset val="100"/>
        <c:noMultiLvlLbl val="0"/>
      </c:catAx>
      <c:valAx>
        <c:axId val="498375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641524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财政拨款收支与年初预算对比</a:t>
            </a:r>
          </a:p>
        </c:rich>
      </c:tx>
      <c:layout/>
      <c:overlay val="0"/>
      <c:spPr>
        <a:noFill/>
        <a:ln>
          <a:noFill/>
        </a:ln>
        <a:effectLst/>
      </c:spPr>
    </c:title>
    <c:autoTitleDeleted val="0"/>
    <c:plotArea>
      <c:layout/>
      <c:barChart>
        <c:barDir val="col"/>
        <c:grouping val="clustered"/>
        <c:varyColors val="0"/>
        <c:ser>
          <c:idx val="0"/>
          <c:order val="0"/>
          <c:tx>
            <c:strRef>
              <c:f>'[新建 XLS 工作表.xls]Sheet1'!$C$33</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工作表.xls]Sheet1'!$D$32:$E$32</c:f>
              <c:strCache>
                <c:ptCount val="2"/>
                <c:pt idx="0">
                  <c:v>收入</c:v>
                </c:pt>
                <c:pt idx="1">
                  <c:v>支出</c:v>
                </c:pt>
              </c:strCache>
            </c:strRef>
          </c:cat>
          <c:val>
            <c:numRef>
              <c:f>'[新建 XLS 工作表.xls]Sheet1'!$D$33:$E$33</c:f>
              <c:numCache>
                <c:formatCode>General</c:formatCode>
                <c:ptCount val="2"/>
                <c:pt idx="0">
                  <c:v>8656.57</c:v>
                </c:pt>
                <c:pt idx="1">
                  <c:v>8656.57</c:v>
                </c:pt>
              </c:numCache>
            </c:numRef>
          </c:val>
        </c:ser>
        <c:ser>
          <c:idx val="1"/>
          <c:order val="1"/>
          <c:tx>
            <c:strRef>
              <c:f>'[新建 XLS 工作表.xls]Sheet1'!$C$34</c:f>
              <c:strCache>
                <c:ptCount val="1"/>
                <c:pt idx="0">
                  <c:v>本年财政拨款决算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工作表.xls]Sheet1'!$D$32:$E$32</c:f>
              <c:strCache>
                <c:ptCount val="2"/>
                <c:pt idx="0">
                  <c:v>收入</c:v>
                </c:pt>
                <c:pt idx="1">
                  <c:v>支出</c:v>
                </c:pt>
              </c:strCache>
            </c:strRef>
          </c:cat>
          <c:val>
            <c:numRef>
              <c:f>'[新建 XLS 工作表.xls]Sheet1'!$D$34:$E$34</c:f>
              <c:numCache>
                <c:formatCode>General</c:formatCode>
                <c:ptCount val="2"/>
                <c:pt idx="0">
                  <c:v>11482.75</c:v>
                </c:pt>
                <c:pt idx="1">
                  <c:v>12189.33</c:v>
                </c:pt>
              </c:numCache>
            </c:numRef>
          </c:val>
        </c:ser>
        <c:dLbls>
          <c:showLegendKey val="0"/>
          <c:showVal val="1"/>
          <c:showCatName val="0"/>
          <c:showSerName val="0"/>
          <c:showPercent val="0"/>
          <c:showBubbleSize val="0"/>
        </c:dLbls>
        <c:gapWidth val="219"/>
        <c:overlap val="-27"/>
        <c:axId val="517355959"/>
        <c:axId val="675530774"/>
      </c:barChart>
      <c:catAx>
        <c:axId val="51735595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5530774"/>
        <c:crosses val="autoZero"/>
        <c:auto val="1"/>
        <c:lblAlgn val="ctr"/>
        <c:lblOffset val="100"/>
        <c:noMultiLvlLbl val="0"/>
      </c:catAx>
      <c:valAx>
        <c:axId val="67553077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735595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财政拨款支出决算结构</a:t>
            </a:r>
          </a:p>
        </c:rich>
      </c:tx>
      <c:layout/>
      <c:overlay val="0"/>
      <c:spPr>
        <a:noFill/>
        <a:ln>
          <a:noFill/>
        </a:ln>
        <a:effectLst/>
      </c:spPr>
    </c:title>
    <c:autoTitleDeleted val="0"/>
    <c:plotArea>
      <c:layout/>
      <c:pieChart>
        <c:varyColors val="1"/>
        <c:ser>
          <c:idx val="0"/>
          <c:order val="0"/>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Pt>
            <c:idx val="2"/>
            <c:bubble3D val="0"/>
            <c:spPr>
              <a:solidFill>
                <a:srgbClr val="9BBB59"/>
              </a:solidFill>
              <a:ln w="19050">
                <a:solidFill>
                  <a:srgbClr val="FFFFFF"/>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'[新建 XLS 工作表.xls]Sheet1'!$A$2:$A$4</c:f>
              <c:strCache>
                <c:ptCount val="3"/>
                <c:pt idx="0">
                  <c:v>卫生健康支出</c:v>
                </c:pt>
                <c:pt idx="1">
                  <c:v>社会保障和就业支出</c:v>
                </c:pt>
                <c:pt idx="2">
                  <c:v>住房保障支出</c:v>
                </c:pt>
              </c:strCache>
            </c:strRef>
          </c:cat>
          <c:val>
            <c:numRef>
              <c:f>'[新建 XLS 工作表.xls]Sheet1'!$B$2:$B$4</c:f>
              <c:numCache>
                <c:formatCode>0.00%</c:formatCode>
                <c:ptCount val="3"/>
                <c:pt idx="0">
                  <c:v>0.9923</c:v>
                </c:pt>
                <c:pt idx="1">
                  <c:v>0.0067</c:v>
                </c:pt>
                <c:pt idx="2">
                  <c:v>0.001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101</TotalTime>
  <ScaleCrop>false</ScaleCrop>
  <LinksUpToDate>false</LinksUpToDate>
  <CharactersWithSpaces>11119</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MiSs 尛默</cp:lastModifiedBy>
  <cp:lastPrinted>2020-07-30T02:37:00Z</cp:lastPrinted>
  <dcterms:modified xsi:type="dcterms:W3CDTF">2021-06-17T07:13:32Z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1FFB89B7FF6C439AB8A49F6A6605EE1D</vt:lpwstr>
  </property>
</Properties>
</file>