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8480"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二十八日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8480;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二十八日</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0528;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9504;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6432"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6432;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1552"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4928;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7456;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高邑县信访局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二十八日</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257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257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单位主要主管是否有进京、赴省、到市集体访。负责处理全县人民群众、法人和其他组织及境内外人士给县委、县政府和县领导的来信，接待群众来访；协调处理群众集体来县、去市、到省和进京上访，参与解决群体性上访案件。案件、县领导签批交办案件，按期结案率要达到100%，息诉罢访率达到80%；每月进行一次矛盾纠纷排查，并实行零报告，访前排查率达到100%。贯彻落实省委、省政府和市委、市政府及县委、县政府有关信访工作的方针、政策和法律、法规，部署和落实全县信访工作任务。向县委、县政府领导报告重大的信访情况并落实领导批示意见。</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6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 xml:space="preserve">单位名称 </w:t>
            </w:r>
          </w:p>
        </w:tc>
        <w:tc>
          <w:tcPr>
            <w:tcW w:w="226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 xml:space="preserve"> 单位性质 </w:t>
            </w:r>
          </w:p>
        </w:tc>
        <w:tc>
          <w:tcPr>
            <w:tcW w:w="226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单位规格</w:t>
            </w:r>
          </w:p>
        </w:tc>
        <w:tc>
          <w:tcPr>
            <w:tcW w:w="226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65" w:type="dxa"/>
          </w:tcPr>
          <w:p>
            <w:pPr>
              <w:spacing w:after="0"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ArialUnicodeMS"/>
                <w:kern w:val="0"/>
                <w:sz w:val="32"/>
                <w:szCs w:val="32"/>
                <w:vertAlign w:val="baseline"/>
                <w:lang w:eastAsia="zh-CN"/>
              </w:rPr>
              <w:t>高邑县信访局</w:t>
            </w:r>
          </w:p>
        </w:tc>
        <w:tc>
          <w:tcPr>
            <w:tcW w:w="2265" w:type="dxa"/>
          </w:tcPr>
          <w:p>
            <w:pPr>
              <w:spacing w:after="0"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ArialUnicodeMS"/>
                <w:kern w:val="0"/>
                <w:sz w:val="32"/>
                <w:szCs w:val="32"/>
                <w:vertAlign w:val="baseline"/>
                <w:lang w:eastAsia="zh-CN"/>
              </w:rPr>
              <w:t>行政</w:t>
            </w:r>
          </w:p>
        </w:tc>
        <w:tc>
          <w:tcPr>
            <w:tcW w:w="2265" w:type="dxa"/>
          </w:tcPr>
          <w:p>
            <w:pPr>
              <w:spacing w:after="0"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ArialUnicodeMS"/>
                <w:kern w:val="0"/>
                <w:sz w:val="32"/>
                <w:szCs w:val="32"/>
                <w:vertAlign w:val="baseline"/>
                <w:lang w:eastAsia="zh-CN"/>
              </w:rPr>
              <w:t>正科级</w:t>
            </w:r>
          </w:p>
        </w:tc>
        <w:tc>
          <w:tcPr>
            <w:tcW w:w="2265" w:type="dxa"/>
          </w:tcPr>
          <w:p>
            <w:pPr>
              <w:spacing w:after="0"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ArialUnicodeMS"/>
                <w:kern w:val="0"/>
                <w:sz w:val="32"/>
                <w:szCs w:val="32"/>
                <w:vertAlign w:val="baseline"/>
                <w:lang w:eastAsia="zh-CN"/>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36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jc w:val="both"/>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564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5648;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494.6</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100.41</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16.88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项目资金减少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019年度</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409.91</w:t>
      </w:r>
      <w:r>
        <w:rPr>
          <w:rFonts w:hint="eastAsia" w:ascii="仿宋_GB2312" w:hAnsi="Times New Roman" w:eastAsia="仿宋_GB2312" w:cs="DengXian-Regular"/>
          <w:sz w:val="32"/>
          <w:szCs w:val="32"/>
        </w:rPr>
        <w:t>万元。与2018年度决算相比，</w:t>
      </w:r>
      <w:r>
        <w:rPr>
          <w:rFonts w:hint="eastAsia" w:ascii="仿宋_GB2312" w:hAnsi="Times New Roman" w:eastAsia="仿宋_GB2312" w:cs="DengXian-Regular"/>
          <w:sz w:val="32"/>
          <w:szCs w:val="32"/>
          <w:lang w:eastAsia="zh-CN"/>
        </w:rPr>
        <w:t>支出增加</w:t>
      </w:r>
      <w:r>
        <w:rPr>
          <w:rFonts w:hint="eastAsia" w:ascii="仿宋_GB2312" w:hAnsi="Times New Roman" w:eastAsia="仿宋_GB2312" w:cs="DengXian-Regular"/>
          <w:sz w:val="32"/>
          <w:szCs w:val="32"/>
          <w:lang w:val="en-US" w:eastAsia="zh-CN"/>
        </w:rPr>
        <w:t>38.88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10.48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 xml:space="preserve"> 主要原因是有上年结余资金支出在本年度。</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273.8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273.8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409.91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189.11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46.13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220.8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53.87</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83840" behindDoc="0" locked="0" layoutInCell="1" allowOverlap="1">
            <wp:simplePos x="0" y="0"/>
            <wp:positionH relativeFrom="column">
              <wp:posOffset>490220</wp:posOffset>
            </wp:positionH>
            <wp:positionV relativeFrom="paragraph">
              <wp:posOffset>159385</wp:posOffset>
            </wp:positionV>
            <wp:extent cx="4572000" cy="2743200"/>
            <wp:effectExtent l="4445" t="4445" r="14605" b="14605"/>
            <wp:wrapNone/>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273.8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291.78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51.59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项目资金减少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409.91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38.88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10.48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有上年结余资金支出在本年度</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80768" behindDoc="0" locked="0" layoutInCell="1" allowOverlap="1">
            <wp:simplePos x="0" y="0"/>
            <wp:positionH relativeFrom="column">
              <wp:posOffset>594995</wp:posOffset>
            </wp:positionH>
            <wp:positionV relativeFrom="paragraph">
              <wp:posOffset>32385</wp:posOffset>
            </wp:positionV>
            <wp:extent cx="4572000" cy="2743200"/>
            <wp:effectExtent l="4445" t="4445" r="14605" b="14605"/>
            <wp:wrapNone/>
            <wp:docPr id="3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6"/>
          <w:szCs w:val="36"/>
          <w:lang w:val="en-US" w:eastAsia="zh-CN"/>
        </w:rPr>
        <w:t>273.8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169.06</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111.85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项目及人员经费增加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409.91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253.11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247.96</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项目资金及人员经费增加</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81792" behindDoc="0" locked="0" layoutInCell="1" allowOverlap="1">
            <wp:simplePos x="0" y="0"/>
            <wp:positionH relativeFrom="column">
              <wp:posOffset>471170</wp:posOffset>
            </wp:positionH>
            <wp:positionV relativeFrom="paragraph">
              <wp:posOffset>276860</wp:posOffset>
            </wp:positionV>
            <wp:extent cx="4572000" cy="2743200"/>
            <wp:effectExtent l="4445" t="4445" r="14605" b="14605"/>
            <wp:wrapNone/>
            <wp:docPr id="3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409.91</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386.47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94.28</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11.83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2.89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3.61</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0.88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住房保障支出</w:t>
      </w:r>
      <w:r>
        <w:rPr>
          <w:rFonts w:hint="eastAsia" w:ascii="仿宋_GB2312" w:hAnsi="Times New Roman" w:eastAsia="仿宋_GB2312" w:cs="DengXian-Regular"/>
          <w:sz w:val="32"/>
          <w:szCs w:val="32"/>
          <w:lang w:val="en-US" w:eastAsia="zh-CN"/>
        </w:rPr>
        <w:t>8.02万元，占1.95%</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84864" behindDoc="0" locked="0" layoutInCell="1" allowOverlap="1">
            <wp:simplePos x="0" y="0"/>
            <wp:positionH relativeFrom="column">
              <wp:posOffset>461645</wp:posOffset>
            </wp:positionH>
            <wp:positionV relativeFrom="paragraph">
              <wp:posOffset>146685</wp:posOffset>
            </wp:positionV>
            <wp:extent cx="4572000" cy="2743200"/>
            <wp:effectExtent l="4445" t="4445" r="14605" b="14605"/>
            <wp:wrapNone/>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189.11</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104.56</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84.55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0.97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97</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15.48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公务用车次数增加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，主要是本单位无因公出国（境）费支出；</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主要是本单位无因公出国（境）费支出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0.97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0.13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15.48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公务用车次数增加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本单位无购置车辆</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本单位无购置车辆</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15.48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公务用车次数增加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本单位未发生公接待费支出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未发生公接待费支出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根据高邑县财政局关于印发《高邑县财政局关于开展2019年度财政专项资金部门绩效自评工作的通知》的通知，我</w:t>
      </w:r>
      <w:r>
        <w:rPr>
          <w:rFonts w:hint="eastAsia" w:ascii="仿宋" w:hAnsi="仿宋" w:eastAsia="仿宋" w:cs="仿宋"/>
          <w:sz w:val="32"/>
          <w:szCs w:val="32"/>
          <w:lang w:eastAsia="zh-CN"/>
        </w:rPr>
        <w:t>局</w:t>
      </w:r>
      <w:r>
        <w:rPr>
          <w:rFonts w:hint="eastAsia" w:ascii="仿宋" w:hAnsi="仿宋" w:eastAsia="仿宋" w:cs="仿宋"/>
          <w:sz w:val="32"/>
          <w:szCs w:val="32"/>
        </w:rPr>
        <w:t>高度重视，组织财务部门及相关科室具体责任人成立自评工作小组投入到绩效自评工作中去</w:t>
      </w:r>
      <w:r>
        <w:rPr>
          <w:rFonts w:hint="eastAsia" w:ascii="仿宋" w:hAnsi="仿宋" w:eastAsia="仿宋" w:cs="仿宋"/>
          <w:sz w:val="32"/>
          <w:szCs w:val="32"/>
          <w:lang w:eastAsia="zh-CN"/>
        </w:rPr>
        <w:t>，</w:t>
      </w:r>
      <w:r>
        <w:rPr>
          <w:rFonts w:hint="eastAsia" w:ascii="仿宋" w:hAnsi="仿宋" w:eastAsia="仿宋" w:cs="仿宋"/>
          <w:sz w:val="32"/>
          <w:szCs w:val="32"/>
        </w:rPr>
        <w:t>开展了实地深入评价</w:t>
      </w:r>
      <w:r>
        <w:rPr>
          <w:rFonts w:hint="eastAsia" w:ascii="仿宋" w:hAnsi="仿宋" w:eastAsia="仿宋" w:cs="仿宋"/>
          <w:sz w:val="32"/>
          <w:szCs w:val="32"/>
          <w:lang w:eastAsia="zh-CN"/>
        </w:rPr>
        <w:t>。</w:t>
      </w:r>
    </w:p>
    <w:p>
      <w:pPr>
        <w:widowControl w:val="0"/>
        <w:wordWrap/>
        <w:adjustRightInd/>
        <w:snapToGrid w:val="0"/>
        <w:spacing w:line="360" w:lineRule="auto"/>
        <w:ind w:right="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评价工作组织开展情况：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为增强绩效评价工作的针对性、有效性，我们认真总结借鉴以前年度经验做法，不断完善评价机制方法。一是与部门协同配合，实施评价通知和工作方案，对评价工作提出明确要求，引起了我局高度重视，形成了工作合力。二是完善评价指标体系，实施精准评价。针对资金内容、管理要求，结合国家、省信访部门管理规定，建立规范的评价指标体系和评价标准。三是开展调研，实施深入评价。依据评价程序，在全面自评基础上，开展了重点评价。</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0000FF"/>
          <w:sz w:val="32"/>
          <w:szCs w:val="32"/>
          <w:lang w:val="en-US"/>
        </w:rPr>
      </w:pPr>
      <w:r>
        <w:rPr>
          <w:rFonts w:hint="eastAsia" w:ascii="仿宋_GB2312" w:hAnsi="仿宋_GB2312" w:eastAsia="仿宋_GB2312" w:cs="仿宋_GB2312"/>
          <w:sz w:val="32"/>
          <w:szCs w:val="32"/>
        </w:rPr>
        <w:t>本部门在今年部门决算公开中反映</w:t>
      </w:r>
      <w:r>
        <w:rPr>
          <w:rFonts w:hint="eastAsia" w:ascii="仿宋" w:hAnsi="仿宋" w:eastAsia="仿宋" w:cs="仿宋"/>
          <w:sz w:val="32"/>
          <w:szCs w:val="32"/>
          <w:lang w:eastAsia="zh-CN"/>
        </w:rPr>
        <w:t>联席办、进京值班费、群众工作中心、疑难纠纷、信访救助基金、关于特殊群体积案化解经费、信访视频内网费用、信访岗位津贴、关于下达“六无”县、乡、村创建活动专项资金、信访资金、关于增拨办公经费的请示等</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项项目资金的分配、管理、使用和绩效情况，评价预算管理、项目管理、绩效管理，及时发现问题并与部门单位及时沟通，交换意见，提出整改要求。自预算工作开展以来,根据实际情况进行了预算编制工作,并按照专款专用的原则严格控制资金支出,截止</w:t>
      </w:r>
      <w:r>
        <w:rPr>
          <w:rFonts w:hint="eastAsia" w:ascii="仿宋" w:hAnsi="仿宋" w:eastAsia="仿宋" w:cs="仿宋"/>
          <w:sz w:val="32"/>
          <w:szCs w:val="32"/>
          <w:lang w:val="en-US" w:eastAsia="zh-CN"/>
        </w:rPr>
        <w:t>2019年底项目自评结果使用率良好，但部分资金仍存在剩余问题,这主要是由于资金到位时间较为靠后资金出现剩余,财务人员配备略显不足,加之部分资金使用面偏窄,在以后的预算编制时我院将从严从紧安排积极调整资金投向和分配方法,持续优化部门支出结构,提高工作效率。</w:t>
      </w:r>
    </w:p>
    <w:p>
      <w:pPr>
        <w:adjustRightInd w:val="0"/>
        <w:snapToGrid w:val="0"/>
        <w:spacing w:line="580" w:lineRule="exact"/>
        <w:ind w:left="420" w:leftChars="200" w:firstLine="960" w:firstLineChars="300"/>
        <w:rPr>
          <w:rFonts w:ascii="仿宋_GB2312" w:hAnsi="仿宋_GB2312" w:eastAsia="仿宋_GB2312" w:cs="仿宋_GB2312"/>
          <w:sz w:val="32"/>
          <w:szCs w:val="32"/>
        </w:rPr>
      </w:pPr>
    </w:p>
    <w:p>
      <w:pPr>
        <w:widowControl w:val="0"/>
        <w:wordWrap/>
        <w:adjustRightInd/>
        <w:snapToGrid w:val="0"/>
        <w:spacing w:line="360" w:lineRule="auto"/>
        <w:ind w:left="0" w:leftChars="0" w:right="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通过绩效自评结果倒查,年初绩效目标设定质量情</w:t>
      </w:r>
      <w:r>
        <w:rPr>
          <w:rFonts w:hint="eastAsia" w:ascii="仿宋" w:hAnsi="仿宋" w:eastAsia="仿宋" w:cs="仿宋"/>
          <w:color w:val="auto"/>
          <w:sz w:val="32"/>
          <w:szCs w:val="32"/>
          <w:lang w:eastAsia="zh-CN"/>
        </w:rPr>
        <w:t>况良</w:t>
      </w:r>
      <w:r>
        <w:rPr>
          <w:rFonts w:hint="eastAsia" w:ascii="仿宋" w:hAnsi="仿宋" w:eastAsia="仿宋" w:cs="仿宋"/>
          <w:color w:val="auto"/>
          <w:sz w:val="32"/>
          <w:szCs w:val="32"/>
        </w:rPr>
        <w:t>好,绩效目标设定清晰准确,绩效指标全面完整、科学合理,绩效标准恰当适宜、易于评价,在以后的工作过程中,我们仍将加强学习,主动寻找和上级单位及同级单位的差距,主动学习,查漏补缺,争取实现绩效目标质量设定更上一层楼。</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0.97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0.13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15.48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公务用车次数增加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本年度无购置车辆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本单无</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本单无</w:t>
      </w:r>
      <w:r>
        <w:rPr>
          <w:rFonts w:hint="eastAsia" w:ascii="仿宋_GB2312" w:hAnsi="Times New Roman" w:eastAsia="仿宋_GB2312" w:cs="DengXian-Regular"/>
          <w:sz w:val="32"/>
          <w:szCs w:val="32"/>
        </w:rPr>
        <w:t>价值</w:t>
      </w:r>
      <w:r>
        <w:rPr>
          <w:rFonts w:hint="eastAsia" w:ascii="仿宋_GB2312" w:hAnsi="Times New Roman" w:eastAsia="仿宋_GB2312" w:cs="DengXian-Regular"/>
          <w:sz w:val="32"/>
          <w:szCs w:val="32"/>
          <w:lang w:val="en-US" w:eastAsia="zh-CN"/>
        </w:rPr>
        <w:t>10</w:t>
      </w:r>
      <w:r>
        <w:rPr>
          <w:rFonts w:hint="eastAsia" w:ascii="仿宋_GB2312" w:hAnsi="TimesNewRomanPSMT" w:eastAsia="仿宋_GB2312" w:cs="TimesNewRomanPSMT"/>
          <w:sz w:val="32"/>
          <w:szCs w:val="32"/>
        </w:rPr>
        <w:t>0</w:t>
      </w:r>
      <w:r>
        <w:rPr>
          <w:rFonts w:hint="eastAsia" w:ascii="仿宋_GB2312" w:hAnsi="Times New Roman" w:eastAsia="仿宋_GB2312" w:cs="DengXian-Regular"/>
          <w:sz w:val="32"/>
          <w:szCs w:val="32"/>
        </w:rPr>
        <w:t>万元以上通用设备。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6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政府性基金预算财政拨款收入支出决算表、国有资本经营预算财政拨款收入支出决算表、政府采购情况表无收支及结转结余情况，故政府性基金预算财政拨款收入支出决算表、国有资本经营预算财政拨款收入支出决算表、政府采购情况表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667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6672;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rPr>
          <w:sz w:val="72"/>
        </w:rPr>
      </w:pPr>
      <w:r>
        <w:rPr>
          <w:sz w:val="72"/>
        </w:rPr>
        <mc:AlternateContent>
          <mc:Choice Requires="wps">
            <w:drawing>
              <wp:anchor distT="0" distB="0" distL="114300" distR="114300" simplePos="0" relativeHeight="25167769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7696;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bidi w:val="0"/>
        <w:rPr>
          <w:rFonts w:asciiTheme="minorHAnsi" w:hAnsiTheme="minorHAnsi" w:eastAsiaTheme="minorEastAsia" w:cstheme="minorBidi"/>
          <w:kern w:val="2"/>
          <w:sz w:val="21"/>
          <w:szCs w:val="22"/>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tabs>
          <w:tab w:val="left" w:pos="886"/>
        </w:tabs>
        <w:jc w:val="left"/>
        <w:rPr>
          <w:rFonts w:hint="eastAsia" w:eastAsiaTheme="minorEastAsia"/>
          <w:sz w:val="32"/>
          <w:szCs w:val="32"/>
          <w:lang w:eastAsia="zh-CN"/>
        </w:rPr>
      </w:pPr>
      <w:r>
        <w:rPr>
          <w:rFonts w:hint="eastAsia"/>
          <w:sz w:val="32"/>
          <w:szCs w:val="32"/>
          <w:lang w:eastAsia="zh-CN"/>
        </w:rPr>
        <w:t>本部分作为附件上传。</w:t>
      </w:r>
    </w:p>
    <w:p>
      <w:pPr>
        <w:tabs>
          <w:tab w:val="left" w:pos="1433"/>
        </w:tabs>
        <w:bidi w:val="0"/>
        <w:jc w:val="left"/>
        <w:rPr>
          <w:lang w:val="en-US" w:eastAsia="zh-CN"/>
        </w:rPr>
        <w:sectPr>
          <w:headerReference r:id="rId23" w:type="default"/>
          <w:pgSz w:w="11906" w:h="16838"/>
          <w:pgMar w:top="2098" w:right="1474" w:bottom="1985" w:left="1588" w:header="851" w:footer="992" w:gutter="0"/>
          <w:pgNumType w:fmt="numberInDash"/>
          <w:cols w:space="425" w:num="1"/>
          <w:docGrid w:type="lines" w:linePitch="312" w:charSpace="0"/>
        </w:sectPr>
      </w:pPr>
    </w:p>
    <w:p>
      <w:bookmarkStart w:id="0" w:name="_GoBack"/>
      <w:bookmarkEnd w:id="0"/>
      <w:r>
        <mc:AlternateContent>
          <mc:Choice Requires="wps">
            <w:drawing>
              <wp:anchor distT="0" distB="0" distL="114300" distR="114300" simplePos="0" relativeHeight="25167872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872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43.35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B4924"/>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882665"/>
    <w:rsid w:val="05B00A30"/>
    <w:rsid w:val="0A1F343F"/>
    <w:rsid w:val="0B011416"/>
    <w:rsid w:val="0E007B61"/>
    <w:rsid w:val="0E861CC5"/>
    <w:rsid w:val="14B75E12"/>
    <w:rsid w:val="18A93B97"/>
    <w:rsid w:val="196E7F09"/>
    <w:rsid w:val="1CF37238"/>
    <w:rsid w:val="30A7099C"/>
    <w:rsid w:val="31C2036A"/>
    <w:rsid w:val="320D02A5"/>
    <w:rsid w:val="334A0C31"/>
    <w:rsid w:val="348E566F"/>
    <w:rsid w:val="353D21B2"/>
    <w:rsid w:val="35F43AAC"/>
    <w:rsid w:val="3A226944"/>
    <w:rsid w:val="3A4D7980"/>
    <w:rsid w:val="3AEE6A48"/>
    <w:rsid w:val="3C1620AA"/>
    <w:rsid w:val="3D8F080F"/>
    <w:rsid w:val="3FC31134"/>
    <w:rsid w:val="40675127"/>
    <w:rsid w:val="44CE1FA4"/>
    <w:rsid w:val="477C2EAC"/>
    <w:rsid w:val="487F73ED"/>
    <w:rsid w:val="4A347EAE"/>
    <w:rsid w:val="4CE8022E"/>
    <w:rsid w:val="4F757448"/>
    <w:rsid w:val="52600405"/>
    <w:rsid w:val="529B4319"/>
    <w:rsid w:val="5513667E"/>
    <w:rsid w:val="57773DD6"/>
    <w:rsid w:val="578B79AB"/>
    <w:rsid w:val="58E60AE4"/>
    <w:rsid w:val="5B3E74A8"/>
    <w:rsid w:val="5CCD3FD5"/>
    <w:rsid w:val="5E621AD4"/>
    <w:rsid w:val="61FA5F9D"/>
    <w:rsid w:val="64544D10"/>
    <w:rsid w:val="64CD6910"/>
    <w:rsid w:val="65C252E0"/>
    <w:rsid w:val="65DA0887"/>
    <w:rsid w:val="6789158D"/>
    <w:rsid w:val="67D81BA4"/>
    <w:rsid w:val="6AAF1C96"/>
    <w:rsid w:val="6BBF61D0"/>
    <w:rsid w:val="6BE57F10"/>
    <w:rsid w:val="6C0626B1"/>
    <w:rsid w:val="73911324"/>
    <w:rsid w:val="73C55373"/>
    <w:rsid w:val="75681757"/>
    <w:rsid w:val="75A346A8"/>
    <w:rsid w:val="77C612EF"/>
    <w:rsid w:val="78AE0F5D"/>
    <w:rsid w:val="79B9382C"/>
    <w:rsid w:val="7B043B76"/>
    <w:rsid w:val="7C041A6A"/>
    <w:rsid w:val="7E327570"/>
    <w:rsid w:val="7EFE7B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24037;&#20316;&#31807;3"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4037;&#20316;&#31807;1.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本年支出</a:t>
            </a:r>
          </a:p>
          <a:p>
            <a:pPr defTabSz="914400">
              <a:defRPr lang="zh-CN" sz="1400" b="0" i="0" u="none" strike="noStrike" kern="1200" spc="0" baseline="0">
                <a:solidFill>
                  <a:schemeClr val="tx1">
                    <a:lumMod val="65000"/>
                    <a:lumOff val="35000"/>
                  </a:schemeClr>
                </a:solidFill>
                <a:latin typeface="+mn-lt"/>
                <a:ea typeface="+mn-ea"/>
                <a:cs typeface="+mn-cs"/>
              </a:defRPr>
            </a:pP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[工作簿3]Sheet1!$A$1:$B$1</c:f>
              <c:strCache>
                <c:ptCount val="2"/>
                <c:pt idx="0">
                  <c:v>项目支出</c:v>
                </c:pt>
                <c:pt idx="1">
                  <c:v>基本支出</c:v>
                </c:pt>
              </c:strCache>
            </c:strRef>
          </c:cat>
          <c:val>
            <c:numRef>
              <c:f>[工作簿3]Sheet1!$A$2:$B$2</c:f>
              <c:numCache>
                <c:formatCode>0.00%</c:formatCode>
                <c:ptCount val="2"/>
                <c:pt idx="0">
                  <c:v>0.5387</c:v>
                </c:pt>
                <c:pt idx="1">
                  <c:v>0.4613</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2018-2019年财政拨款收支情况</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[工作簿1]Sheet1!$A$1:$D$1</c:f>
              <c:strCache>
                <c:ptCount val="4"/>
                <c:pt idx="0">
                  <c:v>2018年收入</c:v>
                </c:pt>
                <c:pt idx="1">
                  <c:v>2019年收入</c:v>
                </c:pt>
                <c:pt idx="2">
                  <c:v>2018年支出</c:v>
                </c:pt>
                <c:pt idx="3">
                  <c:v>2019年支出</c:v>
                </c:pt>
              </c:strCache>
            </c:strRef>
          </c:cat>
          <c:val>
            <c:numRef>
              <c:f>[工作簿1]Sheet1!$A$2:$D$2</c:f>
              <c:numCache>
                <c:formatCode>General</c:formatCode>
                <c:ptCount val="4"/>
                <c:pt idx="0">
                  <c:v>565.58</c:v>
                </c:pt>
                <c:pt idx="1">
                  <c:v>273.8</c:v>
                </c:pt>
                <c:pt idx="2">
                  <c:v>371.03</c:v>
                </c:pt>
                <c:pt idx="3">
                  <c:v>409.91</c:v>
                </c:pt>
              </c:numCache>
            </c:numRef>
          </c:val>
        </c:ser>
        <c:dLbls>
          <c:showLegendKey val="0"/>
          <c:showVal val="1"/>
          <c:showCatName val="0"/>
          <c:showSerName val="0"/>
          <c:showPercent val="0"/>
          <c:showBubbleSize val="0"/>
        </c:dLbls>
        <c:gapWidth val="219"/>
        <c:overlap val="-27"/>
        <c:axId val="146198786"/>
        <c:axId val="935296215"/>
      </c:barChart>
      <c:catAx>
        <c:axId val="14619878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5296215"/>
        <c:crosses val="autoZero"/>
        <c:auto val="1"/>
        <c:lblAlgn val="ctr"/>
        <c:lblOffset val="100"/>
        <c:noMultiLvlLbl val="0"/>
      </c:catAx>
      <c:valAx>
        <c:axId val="935296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619878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财政拨款收支预决算对比情况</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[工作簿1]Sheet1!$A$1:$D$1</c:f>
              <c:strCache>
                <c:ptCount val="4"/>
                <c:pt idx="0">
                  <c:v>预算收入</c:v>
                </c:pt>
                <c:pt idx="1">
                  <c:v>决算收入</c:v>
                </c:pt>
                <c:pt idx="2">
                  <c:v>预算支出</c:v>
                </c:pt>
                <c:pt idx="3">
                  <c:v>决算支出</c:v>
                </c:pt>
              </c:strCache>
            </c:strRef>
          </c:cat>
          <c:val>
            <c:numRef>
              <c:f>[工作簿1]Sheet1!$A$2:$D$2</c:f>
              <c:numCache>
                <c:formatCode>General</c:formatCode>
                <c:ptCount val="4"/>
                <c:pt idx="0">
                  <c:v>161.95</c:v>
                </c:pt>
                <c:pt idx="1">
                  <c:v>273.8</c:v>
                </c:pt>
                <c:pt idx="2">
                  <c:v>161.95</c:v>
                </c:pt>
                <c:pt idx="3">
                  <c:v>409.91</c:v>
                </c:pt>
              </c:numCache>
            </c:numRef>
          </c:val>
        </c:ser>
        <c:dLbls>
          <c:showLegendKey val="0"/>
          <c:showVal val="0"/>
          <c:showCatName val="0"/>
          <c:showSerName val="0"/>
          <c:showPercent val="0"/>
          <c:showBubbleSize val="0"/>
        </c:dLbls>
        <c:gapWidth val="219"/>
        <c:overlap val="-27"/>
        <c:axId val="86955445"/>
        <c:axId val="735833704"/>
      </c:barChart>
      <c:catAx>
        <c:axId val="8695544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5833704"/>
        <c:crosses val="autoZero"/>
        <c:auto val="1"/>
        <c:lblAlgn val="ctr"/>
        <c:lblOffset val="100"/>
        <c:noMultiLvlLbl val="0"/>
      </c:catAx>
      <c:valAx>
        <c:axId val="735833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95544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[工作簿2]Sheet1!$A$1:$D$1</c:f>
              <c:strCache>
                <c:ptCount val="4"/>
                <c:pt idx="0">
                  <c:v>一般公共服务</c:v>
                </c:pt>
                <c:pt idx="1">
                  <c:v>社会保障和就业</c:v>
                </c:pt>
                <c:pt idx="2">
                  <c:v>卫生健康</c:v>
                </c:pt>
                <c:pt idx="3">
                  <c:v>住房保障</c:v>
                </c:pt>
              </c:strCache>
            </c:strRef>
          </c:cat>
          <c:val>
            <c:numRef>
              <c:f>[工作簿2]Sheet1!$A$2:$D$2</c:f>
              <c:numCache>
                <c:formatCode>0.00%</c:formatCode>
                <c:ptCount val="4"/>
                <c:pt idx="0">
                  <c:v>0.9428</c:v>
                </c:pt>
                <c:pt idx="1">
                  <c:v>0.0289</c:v>
                </c:pt>
                <c:pt idx="2">
                  <c:v>0.0088</c:v>
                </c:pt>
                <c:pt idx="3">
                  <c:v>0.0195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2021-05-07T08:11:16Z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