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lang w:eastAsia="zh-CN"/>
        </w:rPr>
        <w:t>2018</w:t>
      </w:r>
      <w:r>
        <w:rPr>
          <w:rFonts w:hint="eastAsia" w:ascii="黑体" w:hAnsi="宋体" w:eastAsia="黑体"/>
          <w:color w:val="002060"/>
          <w:sz w:val="84"/>
          <w:szCs w:val="84"/>
        </w:rPr>
        <w:t>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b/>
          <w:sz w:val="44"/>
          <w:szCs w:val="44"/>
        </w:rPr>
      </w:pPr>
      <w:r>
        <w:rPr>
          <w:rFonts w:hint="eastAsia" w:ascii="宋体" w:hAnsi="宋体"/>
          <w:b/>
          <w:sz w:val="44"/>
          <w:szCs w:val="44"/>
        </w:rPr>
        <w:t>中共高邑县委组织部</w:t>
      </w:r>
    </w:p>
    <w:p>
      <w:pPr>
        <w:widowControl/>
        <w:jc w:val="center"/>
        <w:rPr>
          <w:rFonts w:ascii="宋体"/>
          <w:b/>
          <w:sz w:val="44"/>
          <w:szCs w:val="44"/>
        </w:rPr>
      </w:pPr>
      <w:r>
        <w:rPr>
          <w:rFonts w:ascii="宋体" w:hAnsi="宋体"/>
          <w:b/>
          <w:sz w:val="44"/>
          <w:szCs w:val="44"/>
        </w:rPr>
        <w:t>2018</w:t>
      </w:r>
      <w:r>
        <w:rPr>
          <w:rFonts w:hint="eastAsia" w:ascii="宋体" w:hAnsi="宋体"/>
          <w:b/>
          <w:sz w:val="44"/>
          <w:szCs w:val="44"/>
        </w:rPr>
        <w:t>年</w:t>
      </w:r>
      <w:r>
        <w:rPr>
          <w:rFonts w:ascii="宋体" w:hAnsi="宋体"/>
          <w:b/>
          <w:sz w:val="44"/>
          <w:szCs w:val="44"/>
        </w:rPr>
        <w:t>10</w:t>
      </w:r>
      <w:r>
        <w:rPr>
          <w:rFonts w:hint="eastAsia" w:ascii="宋体" w:hAnsi="宋体"/>
          <w:b/>
          <w:sz w:val="44"/>
          <w:szCs w:val="44"/>
        </w:rPr>
        <w:t>月</w:t>
      </w:r>
      <w:r>
        <w:rPr>
          <w:rFonts w:ascii="宋体" w:hAnsi="宋体"/>
          <w:b/>
          <w:sz w:val="44"/>
          <w:szCs w:val="44"/>
        </w:rPr>
        <w:t>10</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中共高邑县委组织部部门概况</w:t>
      </w:r>
      <w:r>
        <w:rPr>
          <w:rFonts w:eastAsia="仿宋_GB2312"/>
          <w:sz w:val="24"/>
          <w:szCs w:val="32"/>
        </w:rPr>
        <w:t xml:space="preserve">   </w:t>
      </w:r>
    </w:p>
    <w:p>
      <w:pPr>
        <w:widowControl/>
        <w:spacing w:line="580" w:lineRule="exact"/>
        <w:ind w:firstLine="1280" w:firstLineChars="400"/>
        <w:rPr>
          <w:rFonts w:eastAsia="仿宋_GB2312"/>
          <w:sz w:val="32"/>
          <w:szCs w:val="32"/>
        </w:rPr>
      </w:pPr>
      <w:r>
        <w:rPr>
          <w:rFonts w:hint="eastAsia" w:eastAsia="仿宋_GB2312"/>
          <w:sz w:val="32"/>
          <w:szCs w:val="32"/>
        </w:rPr>
        <w:t>一、部门职责</w:t>
      </w:r>
    </w:p>
    <w:p>
      <w:pPr>
        <w:widowControl/>
        <w:spacing w:line="580" w:lineRule="exact"/>
        <w:ind w:firstLine="1280" w:firstLineChars="400"/>
        <w:rPr>
          <w:rFonts w:eastAsia="仿宋_GB2312"/>
          <w:sz w:val="32"/>
          <w:szCs w:val="32"/>
        </w:rPr>
      </w:pPr>
      <w:r>
        <w:rPr>
          <w:rFonts w:hint="eastAsia" w:eastAsia="仿宋_GB2312"/>
          <w:sz w:val="32"/>
          <w:szCs w:val="32"/>
        </w:rPr>
        <w:t>二、部门决算单位构成</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w:t>
      </w:r>
      <w:r>
        <w:rPr>
          <w:rFonts w:hint="eastAsia" w:eastAsia="黑体"/>
          <w:sz w:val="32"/>
          <w:szCs w:val="32"/>
        </w:rPr>
        <w:t>中共高邑县委组织部</w:t>
      </w:r>
      <w:r>
        <w:rPr>
          <w:rFonts w:hint="eastAsia" w:eastAsia="黑体"/>
          <w:sz w:val="32"/>
          <w:szCs w:val="32"/>
          <w:lang w:eastAsia="zh-CN"/>
        </w:rPr>
        <w:t>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hint="eastAsia"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中共高邑县委组织部</w:t>
      </w:r>
      <w:r>
        <w:rPr>
          <w:rFonts w:hint="eastAsia" w:eastAsia="黑体"/>
          <w:sz w:val="32"/>
          <w:szCs w:val="32"/>
          <w:lang w:eastAsia="zh-CN"/>
        </w:rPr>
        <w:t>2018</w:t>
      </w:r>
      <w:r>
        <w:rPr>
          <w:rFonts w:hint="eastAsia" w:eastAsia="黑体"/>
          <w:sz w:val="32"/>
          <w:szCs w:val="32"/>
        </w:rPr>
        <w:t>年部门决算情况说明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w:t>
      </w:r>
      <w:r>
        <w:rPr>
          <w:rFonts w:hint="eastAsia" w:eastAsia="仿宋_GB2312"/>
          <w:sz w:val="32"/>
          <w:szCs w:val="32"/>
        </w:rPr>
        <w:t>机关运行经费情况</w:t>
      </w:r>
    </w:p>
    <w:p>
      <w:pPr>
        <w:widowControl/>
        <w:spacing w:line="580" w:lineRule="exact"/>
        <w:ind w:left="640" w:firstLine="1344" w:firstLineChars="420"/>
        <w:rPr>
          <w:rFonts w:eastAsia="仿宋_GB2312"/>
          <w:sz w:val="32"/>
          <w:szCs w:val="32"/>
        </w:rPr>
      </w:pPr>
      <w:r>
        <w:rPr>
          <w:rFonts w:eastAsia="仿宋_GB2312"/>
          <w:sz w:val="32"/>
          <w:szCs w:val="32"/>
        </w:rPr>
        <w:t>2.</w:t>
      </w:r>
      <w:r>
        <w:rPr>
          <w:rFonts w:hint="eastAsia" w:eastAsia="仿宋_GB2312"/>
          <w:sz w:val="32"/>
          <w:szCs w:val="32"/>
        </w:rPr>
        <w:t>政府采购情况</w:t>
      </w:r>
    </w:p>
    <w:p>
      <w:pPr>
        <w:widowControl/>
        <w:spacing w:line="580" w:lineRule="exact"/>
        <w:ind w:left="640" w:firstLine="1344" w:firstLineChars="420"/>
        <w:rPr>
          <w:rFonts w:eastAsia="仿宋_GB2312"/>
          <w:sz w:val="32"/>
          <w:szCs w:val="32"/>
        </w:rPr>
      </w:pPr>
      <w:r>
        <w:rPr>
          <w:rFonts w:eastAsia="仿宋_GB2312"/>
          <w:sz w:val="32"/>
          <w:szCs w:val="32"/>
        </w:rPr>
        <w:t>3.</w:t>
      </w:r>
      <w:r>
        <w:rPr>
          <w:rFonts w:hint="eastAsia" w:eastAsia="仿宋_GB2312"/>
          <w:sz w:val="32"/>
          <w:szCs w:val="32"/>
        </w:rPr>
        <w:t>国有资产占用情况</w:t>
      </w:r>
    </w:p>
    <w:p>
      <w:pPr>
        <w:widowControl/>
        <w:spacing w:line="580" w:lineRule="exact"/>
        <w:ind w:left="640" w:firstLine="1344" w:firstLineChars="420"/>
        <w:rPr>
          <w:rFonts w:eastAsia="仿宋_GB2312"/>
          <w:sz w:val="32"/>
          <w:szCs w:val="32"/>
        </w:rPr>
      </w:pPr>
      <w:r>
        <w:rPr>
          <w:rFonts w:eastAsia="仿宋_GB2312"/>
          <w:sz w:val="32"/>
          <w:szCs w:val="32"/>
        </w:rPr>
        <w:t>4.</w:t>
      </w:r>
      <w:r>
        <w:rPr>
          <w:rFonts w:hint="eastAsia" w:eastAsia="仿宋_GB2312"/>
          <w:sz w:val="32"/>
          <w:szCs w:val="32"/>
        </w:rPr>
        <w:t>其他需要说明的情况</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
    <w:p/>
    <w:p/>
    <w:p/>
    <w:p>
      <w:pPr>
        <w:pStyle w:val="2"/>
        <w:spacing w:line="560" w:lineRule="exact"/>
        <w:jc w:val="center"/>
        <w:rPr>
          <w:rFonts w:ascii="宋体" w:cs="ArialUnicodeMS"/>
          <w:color w:val="000000"/>
          <w:kern w:val="0"/>
        </w:rPr>
      </w:pPr>
      <w:r>
        <w:rPr>
          <w:rFonts w:hint="eastAsia" w:ascii="宋体" w:hAnsi="宋体" w:cs="ArialUnicodeMS"/>
          <w:color w:val="000000"/>
          <w:kern w:val="0"/>
        </w:rPr>
        <w:t>第一部分</w:t>
      </w:r>
      <w:r>
        <w:rPr>
          <w:rFonts w:ascii="宋体" w:hAnsi="宋体" w:cs="ArialUnicodeMS"/>
          <w:color w:val="000000"/>
          <w:kern w:val="0"/>
        </w:rPr>
        <w:t xml:space="preserve"> </w:t>
      </w:r>
      <w:r>
        <w:rPr>
          <w:rFonts w:hint="eastAsia" w:ascii="宋体" w:hAnsi="宋体" w:cs="ArialUnicodeMS"/>
          <w:color w:val="000000"/>
          <w:kern w:val="0"/>
        </w:rPr>
        <w:t>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县委组织部是县委主管组织、干部、人才工作的职能部门，按照高编[2002]9号文件，组织部主要职责为：</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（一）研究和指导全县党组织特别是党的基层组织建设；规划、协调和指导党员教育工作，主管党员的管理和发展工作；组织开展新时期党的建设理论研究；负责各类新型经济社会组织党建工作和党员队伍建设。</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二）负责对县委管理的领导班子及领导干部的考察，并提出调整配备的意见和建议；办理县委管理干部的任免、工资、待遇、退（离）休审批手续；指导领导班子的思想作风建设；负责全县股级干部的宏观管理和乡镇、县直机关有关股级干部的任免工作；承办有关干部的调配、交流及安置事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（三）研究制定干部队伍建设的总体规划，组织落实培养选拔中青年干部、妇女干部、少数民族干部和党外干部工作。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（四）负责党群机关参照试行《国家公务员暂行条例》的管理工作。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（五）研究和指导党的组织制度和干部人事制度改革，制定或参与制定组织、干部、人事工作的政策和制度，并组织贯彻落实。</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（六）按照中央《党政领导干部选拔任用工作条例》，负责对选拔任用干部工作和股级以上干部进行监督检查。</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（七）负责组织工作和干部工作的监督检查，及时向县委报告有关的重要情况，并提出相应的意见和建议。</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（八）主管干部教育工作。制定干部教育工作总体规划和有关政策；组织县委管理的干部和一定层次的年轻干部以及农村党支部书记的培训；指导、协调和检查全县干部教育工作。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（九）负责全县干部档案的管理工作。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（十）指导、协调全县知识分子工作；了解掌握全县知识分子工作总体情况，制定或参与制定知识分子工作的有关政策，检查知识分子政策贯彻执行情况；负责科技副乡镇长的选聘、管理工作。</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（十一）负责退（离）休干部工作的宏观管理和指导。</w:t>
      </w:r>
    </w:p>
    <w:p>
      <w:pPr>
        <w:pStyle w:val="3"/>
        <w:spacing w:before="0" w:after="0" w:line="560" w:lineRule="exact"/>
        <w:ind w:firstLine="640" w:firstLineChars="200"/>
        <w:rPr>
          <w:rFonts w:ascii="仿宋_GB2312" w:hAnsi="Times New Roman" w:eastAsia="仿宋_GB2312"/>
          <w:b w:val="0"/>
          <w:bCs w:val="0"/>
        </w:rPr>
      </w:pPr>
      <w:r>
        <w:rPr>
          <w:rFonts w:hint="eastAsia" w:ascii="仿宋_GB2312" w:hAnsi="Times New Roman" w:eastAsia="仿宋_GB2312"/>
          <w:b w:val="0"/>
          <w:bCs w:val="0"/>
        </w:rPr>
        <w:t>（十二）完成县委交办的其他任务。</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spacing w:after="0" w:line="140" w:lineRule="atLeast"/>
        <w:ind w:left="435" w:leftChars="207" w:firstLine="640" w:firstLineChars="200"/>
        <w:rPr>
          <w:rFonts w:hint="eastAsia" w:ascii="仿宋_GB2312" w:eastAsia="仿宋_GB2312"/>
          <w:sz w:val="32"/>
          <w:szCs w:val="32"/>
        </w:rPr>
      </w:pPr>
      <w:r>
        <w:rPr>
          <w:rFonts w:hint="eastAsia" w:ascii="仿宋_GB2312" w:eastAsia="仿宋_GB2312"/>
          <w:sz w:val="32"/>
          <w:szCs w:val="32"/>
          <w:lang w:eastAsia="zh-CN"/>
        </w:rPr>
        <w:t>2018</w:t>
      </w:r>
      <w:r>
        <w:rPr>
          <w:rFonts w:ascii="仿宋_GB2312" w:eastAsia="仿宋_GB2312"/>
          <w:sz w:val="32"/>
          <w:szCs w:val="32"/>
        </w:rPr>
        <w:t xml:space="preserve"> </w:t>
      </w:r>
      <w:r>
        <w:rPr>
          <w:rFonts w:hint="eastAsia" w:ascii="仿宋_GB2312" w:eastAsia="仿宋_GB2312"/>
          <w:sz w:val="32"/>
          <w:szCs w:val="32"/>
        </w:rPr>
        <w:t>年度，纳入本部门决算汇编范围的独立核算单位共</w:t>
      </w:r>
      <w:r>
        <w:rPr>
          <w:rFonts w:ascii="仿宋_GB2312" w:eastAsia="仿宋_GB2312"/>
          <w:sz w:val="32"/>
          <w:szCs w:val="32"/>
        </w:rPr>
        <w:t xml:space="preserve"> 1</w:t>
      </w:r>
      <w:r>
        <w:rPr>
          <w:rFonts w:hint="eastAsia" w:ascii="仿宋_GB2312" w:eastAsia="仿宋_GB2312"/>
          <w:sz w:val="32"/>
          <w:szCs w:val="32"/>
        </w:rPr>
        <w:t>个，是中共高邑县委组织部，单位基本性质为财政拨款行政单位，预算管理级次为一级预算单位，执行行政单位会计制度，较上年无增减变化。</w:t>
      </w:r>
    </w:p>
    <w:p>
      <w:pPr>
        <w:spacing w:after="0" w:line="140" w:lineRule="atLeast"/>
        <w:ind w:left="435" w:leftChars="207" w:firstLine="640" w:firstLineChars="20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部门机构设置情况</w:t>
      </w:r>
    </w:p>
    <w:tbl>
      <w:tblPr>
        <w:tblStyle w:val="13"/>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3"/>
        <w:gridCol w:w="1947"/>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3" w:type="dxa"/>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lang w:val="en-US" w:eastAsia="zh-CN"/>
              </w:rPr>
              <w:t>单位名称</w:t>
            </w:r>
          </w:p>
        </w:tc>
        <w:tc>
          <w:tcPr>
            <w:tcW w:w="1947" w:type="dxa"/>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单位性质</w:t>
            </w:r>
          </w:p>
        </w:tc>
        <w:tc>
          <w:tcPr>
            <w:tcW w:w="2265" w:type="dxa"/>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单位规格</w:t>
            </w:r>
          </w:p>
        </w:tc>
        <w:tc>
          <w:tcPr>
            <w:tcW w:w="2265" w:type="dxa"/>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3" w:type="dxa"/>
            <w:vAlign w:val="center"/>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中国共产党高邑县委员会组织部</w:t>
            </w:r>
          </w:p>
        </w:tc>
        <w:tc>
          <w:tcPr>
            <w:tcW w:w="1947" w:type="dxa"/>
            <w:vAlign w:val="center"/>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行政</w:t>
            </w:r>
          </w:p>
        </w:tc>
        <w:tc>
          <w:tcPr>
            <w:tcW w:w="2265" w:type="dxa"/>
            <w:vAlign w:val="center"/>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正科级</w:t>
            </w:r>
          </w:p>
        </w:tc>
        <w:tc>
          <w:tcPr>
            <w:tcW w:w="2265" w:type="dxa"/>
            <w:vAlign w:val="center"/>
          </w:tcPr>
          <w:p>
            <w:pPr>
              <w:spacing w:after="0" w:line="140" w:lineRule="atLeast"/>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财政拨款</w:t>
            </w:r>
          </w:p>
        </w:tc>
      </w:tr>
    </w:tbl>
    <w:p>
      <w:pPr>
        <w:spacing w:after="0" w:line="140" w:lineRule="atLeast"/>
        <w:ind w:left="435" w:leftChars="207" w:firstLine="640" w:firstLineChars="200"/>
        <w:jc w:val="center"/>
        <w:rPr>
          <w:rFonts w:hint="eastAsia" w:ascii="仿宋_GB2312" w:eastAsia="仿宋_GB2312"/>
          <w:sz w:val="32"/>
          <w:szCs w:val="32"/>
          <w:lang w:val="en-US" w:eastAsia="zh-CN"/>
        </w:rPr>
      </w:pPr>
    </w:p>
    <w:p>
      <w:pPr>
        <w:spacing w:line="580" w:lineRule="exact"/>
        <w:ind w:firstLine="640" w:firstLineChars="200"/>
        <w:rPr>
          <w:rFonts w:hint="eastAsia" w:ascii="仿宋_GB2312" w:hAnsi="Calibri" w:eastAsia="仿宋_GB2312" w:cs="ArialUnicodeMS"/>
          <w:color w:val="auto"/>
          <w:kern w:val="0"/>
          <w:sz w:val="32"/>
          <w:szCs w:val="32"/>
          <w:lang w:eastAsia="zh-CN"/>
        </w:rPr>
      </w:pPr>
      <w:r>
        <w:rPr>
          <w:rFonts w:hint="eastAsia" w:ascii="仿宋_GB2312" w:hAnsi="Calibri" w:eastAsia="仿宋_GB2312" w:cs="ArialUnicodeMS"/>
          <w:color w:val="auto"/>
          <w:kern w:val="0"/>
          <w:sz w:val="32"/>
          <w:szCs w:val="32"/>
        </w:rPr>
        <w:t>中共高邑县委</w:t>
      </w:r>
      <w:r>
        <w:rPr>
          <w:rFonts w:hint="eastAsia" w:ascii="仿宋_GB2312" w:hAnsi="Calibri" w:eastAsia="仿宋_GB2312" w:cs="ArialUnicodeMS"/>
          <w:color w:val="auto"/>
          <w:kern w:val="0"/>
          <w:sz w:val="32"/>
          <w:szCs w:val="32"/>
          <w:lang w:eastAsia="zh-CN"/>
        </w:rPr>
        <w:t>组织部，</w:t>
      </w:r>
      <w:r>
        <w:rPr>
          <w:rFonts w:hint="eastAsia" w:ascii="仿宋_GB2312" w:hAnsi="Calibri" w:eastAsia="仿宋_GB2312" w:cs="ArialUnicodeMS"/>
          <w:color w:val="auto"/>
          <w:kern w:val="0"/>
          <w:sz w:val="32"/>
          <w:szCs w:val="32"/>
        </w:rPr>
        <w:t>行政编制</w:t>
      </w:r>
      <w:r>
        <w:rPr>
          <w:rFonts w:hint="eastAsia" w:ascii="仿宋_GB2312" w:hAnsi="Calibri" w:eastAsia="仿宋_GB2312" w:cs="ArialUnicodeMS"/>
          <w:color w:val="auto"/>
          <w:kern w:val="0"/>
          <w:sz w:val="32"/>
          <w:szCs w:val="32"/>
          <w:lang w:eastAsia="zh-CN"/>
        </w:rPr>
        <w:t>共</w:t>
      </w:r>
      <w:r>
        <w:rPr>
          <w:rFonts w:hint="eastAsia" w:ascii="仿宋_GB2312" w:hAnsi="Calibri" w:eastAsia="仿宋_GB2312" w:cs="ArialUnicodeMS"/>
          <w:color w:val="auto"/>
          <w:kern w:val="0"/>
          <w:sz w:val="32"/>
          <w:szCs w:val="32"/>
          <w:lang w:val="en-US" w:eastAsia="zh-CN"/>
        </w:rPr>
        <w:t>21</w:t>
      </w:r>
      <w:r>
        <w:rPr>
          <w:rFonts w:hint="eastAsia" w:ascii="仿宋_GB2312" w:hAnsi="Calibri" w:eastAsia="仿宋_GB2312" w:cs="ArialUnicodeMS"/>
          <w:color w:val="auto"/>
          <w:kern w:val="0"/>
          <w:sz w:val="32"/>
          <w:szCs w:val="32"/>
        </w:rPr>
        <w:t>名，实有人员</w:t>
      </w:r>
      <w:r>
        <w:rPr>
          <w:rFonts w:hint="eastAsia" w:ascii="仿宋_GB2312" w:hAnsi="Calibri" w:eastAsia="仿宋_GB2312" w:cs="ArialUnicodeMS"/>
          <w:color w:val="auto"/>
          <w:kern w:val="0"/>
          <w:sz w:val="32"/>
          <w:szCs w:val="32"/>
          <w:lang w:val="en-US" w:eastAsia="zh-CN"/>
        </w:rPr>
        <w:t>16</w:t>
      </w:r>
      <w:r>
        <w:rPr>
          <w:rFonts w:hint="eastAsia" w:ascii="仿宋_GB2312" w:hAnsi="Calibri" w:eastAsia="仿宋_GB2312" w:cs="ArialUnicodeMS"/>
          <w:color w:val="auto"/>
          <w:kern w:val="0"/>
          <w:sz w:val="32"/>
          <w:szCs w:val="32"/>
        </w:rPr>
        <w:t>人</w:t>
      </w:r>
      <w:r>
        <w:rPr>
          <w:rFonts w:hint="eastAsia" w:ascii="仿宋_GB2312" w:hAnsi="Calibri" w:eastAsia="仿宋_GB2312" w:cs="ArialUnicodeMS"/>
          <w:color w:val="auto"/>
          <w:kern w:val="0"/>
          <w:sz w:val="32"/>
          <w:szCs w:val="32"/>
          <w:lang w:eastAsia="zh-CN"/>
        </w:rPr>
        <w:t>。</w:t>
      </w:r>
    </w:p>
    <w:p>
      <w:pPr>
        <w:pStyle w:val="2"/>
        <w:spacing w:line="560" w:lineRule="exact"/>
        <w:jc w:val="center"/>
        <w:rPr>
          <w:rFonts w:ascii="宋体" w:cs="ArialUnicodeMS"/>
          <w:color w:val="000000"/>
          <w:kern w:val="0"/>
        </w:rPr>
      </w:pPr>
      <w:r>
        <w:rPr>
          <w:rFonts w:hint="eastAsia" w:ascii="宋体" w:hAnsi="宋体" w:cs="ArialUnicodeMS"/>
          <w:color w:val="000000"/>
          <w:kern w:val="0"/>
        </w:rPr>
        <w:t>第二部分</w:t>
      </w:r>
      <w:r>
        <w:rPr>
          <w:rFonts w:ascii="宋体" w:hAnsi="宋体" w:cs="ArialUnicodeMS"/>
          <w:color w:val="000000"/>
          <w:kern w:val="0"/>
        </w:rPr>
        <w:t xml:space="preserve"> </w:t>
      </w:r>
      <w:r>
        <w:rPr>
          <w:rFonts w:hint="eastAsia" w:ascii="宋体" w:hAnsi="宋体" w:cs="ArialUnicodeMS"/>
          <w:color w:val="000000"/>
          <w:kern w:val="0"/>
          <w:lang w:eastAsia="zh-CN"/>
        </w:rPr>
        <w:t>2018</w:t>
      </w:r>
      <w:r>
        <w:rPr>
          <w:rFonts w:hint="eastAsia" w:ascii="宋体" w:hAnsi="宋体" w:cs="ArialUnicodeMS"/>
          <w:color w:val="000000"/>
          <w:kern w:val="0"/>
        </w:rPr>
        <w:t>年度部门决算报表</w:t>
      </w:r>
    </w:p>
    <w:p>
      <w:pPr>
        <w:pStyle w:val="2"/>
        <w:spacing w:line="560" w:lineRule="exact"/>
        <w:jc w:val="center"/>
        <w:rPr>
          <w:rFonts w:ascii="宋体" w:cs="ArialUnicodeMS"/>
          <w:color w:val="000000"/>
          <w:kern w:val="0"/>
        </w:rPr>
      </w:pPr>
      <w:r>
        <w:rPr>
          <w:rFonts w:hint="eastAsia" w:ascii="宋体" w:hAnsi="宋体" w:cs="ArialUnicodeMS"/>
          <w:b w:val="0"/>
          <w:bCs w:val="0"/>
          <w:color w:val="000000"/>
          <w:kern w:val="0"/>
          <w:sz w:val="32"/>
          <w:szCs w:val="32"/>
        </w:rPr>
        <w:t>决算公开表</w:t>
      </w:r>
      <w:r>
        <w:rPr>
          <w:rFonts w:ascii="宋体" w:hAnsi="宋体" w:cs="ArialUnicodeMS"/>
          <w:b w:val="0"/>
          <w:bCs w:val="0"/>
          <w:color w:val="000000"/>
          <w:kern w:val="0"/>
          <w:sz w:val="32"/>
          <w:szCs w:val="32"/>
        </w:rPr>
        <w:t>01</w:t>
      </w:r>
      <w:r>
        <w:rPr>
          <w:rFonts w:hint="eastAsia" w:ascii="宋体" w:hAnsi="宋体" w:cs="ArialUnicodeMS"/>
          <w:b w:val="0"/>
          <w:bCs w:val="0"/>
          <w:color w:val="000000"/>
          <w:kern w:val="0"/>
          <w:sz w:val="32"/>
          <w:szCs w:val="32"/>
        </w:rPr>
        <w:t>表</w:t>
      </w:r>
      <w:r>
        <w:rPr>
          <w:rFonts w:ascii="宋体" w:hAnsi="宋体" w:cs="ArialUnicodeMS"/>
          <w:b w:val="0"/>
          <w:bCs w:val="0"/>
          <w:color w:val="000000"/>
          <w:kern w:val="0"/>
          <w:sz w:val="32"/>
          <w:szCs w:val="32"/>
        </w:rPr>
        <w:t>-10</w:t>
      </w:r>
      <w:r>
        <w:rPr>
          <w:rFonts w:hint="eastAsia" w:ascii="宋体" w:hAnsi="宋体" w:cs="ArialUnicodeMS"/>
          <w:b w:val="0"/>
          <w:bCs w:val="0"/>
          <w:color w:val="000000"/>
          <w:kern w:val="0"/>
          <w:sz w:val="32"/>
          <w:szCs w:val="32"/>
        </w:rPr>
        <w:t>表（见附件）</w:t>
      </w:r>
    </w:p>
    <w:p>
      <w:pPr>
        <w:pStyle w:val="2"/>
        <w:spacing w:line="560" w:lineRule="exact"/>
        <w:jc w:val="center"/>
        <w:rPr>
          <w:rFonts w:asci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年度年初结转和结余0万元，本年收入331.33万元；本年支出331.33万元、年末结转和结余0万元。与201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年度决算相比，本年收入减少14.99万元，减少4.33%，主要减少原因是严格执行</w:t>
      </w:r>
      <w:bookmarkStart w:id="0" w:name="_GoBack"/>
      <w:bookmarkEnd w:id="0"/>
      <w:r>
        <w:rPr>
          <w:rFonts w:hint="eastAsia" w:ascii="仿宋_GB2312" w:eastAsia="仿宋_GB2312" w:cs="DengXian-Regular"/>
          <w:sz w:val="32"/>
          <w:szCs w:val="32"/>
        </w:rPr>
        <w:t>中央、省、市、县有关规定。</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本部门收入支出按所属单位分布情况：本部门无下属单位，其收入支出均反映本部门实际支出。</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年度本年收入合计331.33万元，基本支出增加22.77万元，主要为增加人员经费支出；项目支出减少62万元，主要为上级转移支付资金有所变化。</w:t>
      </w: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三、支出决算情况说明</w:t>
      </w:r>
      <w:r>
        <w:drawing>
          <wp:inline distT="0" distB="0" distL="114300" distR="114300">
            <wp:extent cx="3010535" cy="1725295"/>
            <wp:effectExtent l="0" t="0" r="18415"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3010535" cy="1725295"/>
                    </a:xfrm>
                    <a:prstGeom prst="rect">
                      <a:avLst/>
                    </a:prstGeom>
                    <a:noFill/>
                    <a:ln>
                      <a:noFill/>
                    </a:ln>
                  </pic:spPr>
                </pic:pic>
              </a:graphicData>
            </a:graphic>
          </wp:inline>
        </w:drawing>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年度本年支出合计331.33万元，其中行政运行支出为271.7万元；其他组织事务支出为47.8万元；个人家庭补助款支出11.83万元。</w:t>
      </w: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201</w:t>
      </w:r>
      <w:r>
        <w:rPr>
          <w:rFonts w:hint="eastAsia" w:ascii="楷体_GB2312" w:eastAsia="楷体_GB2312" w:cs="DengXian-Bold"/>
          <w:b/>
          <w:bCs/>
          <w:sz w:val="32"/>
          <w:szCs w:val="32"/>
          <w:lang w:val="en-US" w:eastAsia="zh-CN"/>
        </w:rPr>
        <w:t>7</w:t>
      </w:r>
      <w:r>
        <w:rPr>
          <w:rFonts w:hint="eastAsia" w:ascii="楷体_GB2312" w:eastAsia="楷体_GB2312" w:cs="DengXian-Bold"/>
          <w:b/>
          <w:bCs/>
          <w:sz w:val="32"/>
          <w:szCs w:val="32"/>
        </w:rPr>
        <w:t>年度决算对比情况</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年度财政拨款收支全部为一般公共预算财政拨款收支。一般公共预算财政拨款年初结转和结余</w:t>
      </w:r>
      <w:r>
        <w:rPr>
          <w:rFonts w:ascii="仿宋_GB2312" w:eastAsia="仿宋_GB2312" w:cs="DengXian-Regular"/>
          <w:sz w:val="32"/>
          <w:szCs w:val="32"/>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335.47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335.09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0.38</w:t>
      </w:r>
      <w:r>
        <w:rPr>
          <w:rFonts w:hint="eastAsia" w:ascii="仿宋_GB2312" w:eastAsia="仿宋_GB2312" w:cs="DengXian-Regular"/>
          <w:sz w:val="32"/>
          <w:szCs w:val="32"/>
        </w:rPr>
        <w:t>万元。与</w:t>
      </w:r>
      <w:r>
        <w:rPr>
          <w:rFonts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年度决算相比，一般公共预算财政拨款本年收入减少14.99万元，减少4.33%，主要减少原因是严格执行中央、省、市、县有关规定。</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年度一般公共预算财政拨款本年收入较</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年初预算增加0万元。</w:t>
      </w:r>
    </w:p>
    <w:p>
      <w:pPr>
        <w:pStyle w:val="3"/>
        <w:spacing w:before="0" w:after="0" w:line="560" w:lineRule="exact"/>
        <w:ind w:firstLine="643" w:firstLineChars="200"/>
        <w:rPr>
          <w:rFonts w:ascii="黑体" w:eastAsia="黑体"/>
        </w:rPr>
      </w:pPr>
      <w:r>
        <w:rPr>
          <w:rFonts w:hint="eastAsia" w:ascii="黑体" w:eastAsia="黑体"/>
        </w:rPr>
        <w:t>五、“三公”</w:t>
      </w:r>
      <w:r>
        <w:rPr>
          <w:rFonts w:ascii="黑体" w:eastAsia="黑体"/>
        </w:rPr>
        <w:t xml:space="preserve"> </w:t>
      </w:r>
      <w:r>
        <w:rPr>
          <w:rFonts w:hint="eastAsia" w:ascii="黑体" w:eastAsia="黑体"/>
        </w:rPr>
        <w:t>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年，我部财政拨款“三公”经费预算安排3.14万元，其中因公出国（境）费0万元；公务用车购置及运维费3万元（其中：公务用车购置费为0，公务用车运行费3万元)；公务接待费0.09万元。</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年度无参加其他单位组织的因公出国（境）团。</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年度公务用车购置及运行维护费较年初预算持平，主要是</w:t>
      </w:r>
      <w:r>
        <w:rPr>
          <w:rFonts w:hint="eastAsia" w:ascii="仿宋_GB2312" w:eastAsia="仿宋_GB2312"/>
          <w:sz w:val="32"/>
          <w:szCs w:val="32"/>
        </w:rPr>
        <w:t>严格执行中央、省、市、县压缩三公经费相关文件规定，厉行节俭、严格控制支出</w:t>
      </w:r>
      <w:r>
        <w:rPr>
          <w:rFonts w:hint="eastAsia" w:ascii="仿宋_GB2312" w:eastAsia="仿宋_GB2312" w:cs="DengXian-Regular"/>
          <w:sz w:val="32"/>
          <w:szCs w:val="32"/>
        </w:rPr>
        <w:t>；较</w:t>
      </w:r>
      <w:r>
        <w:rPr>
          <w:rFonts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年度决算持平，主要是</w:t>
      </w:r>
      <w:r>
        <w:rPr>
          <w:rFonts w:hint="eastAsia" w:ascii="仿宋_GB2312" w:eastAsia="仿宋_GB2312"/>
          <w:sz w:val="32"/>
          <w:szCs w:val="32"/>
        </w:rPr>
        <w:t>严格执行中央、省、市、县压缩三公经费相关文件规定，厉行节俭、严格控制支出</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color w:val="000000"/>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w:t>
      </w:r>
      <w:r>
        <w:rPr>
          <w:rFonts w:hint="eastAsia" w:ascii="仿宋_GB2312" w:eastAsia="仿宋_GB2312" w:cs="DengXian-Regular"/>
          <w:color w:val="000000"/>
          <w:sz w:val="32"/>
          <w:szCs w:val="32"/>
        </w:rPr>
        <w:t>未发生公务用车购置经费支出，较</w:t>
      </w:r>
      <w:r>
        <w:rPr>
          <w:rFonts w:ascii="仿宋_GB2312" w:eastAsia="仿宋_GB2312" w:cs="DengXian-Regular"/>
          <w:color w:val="000000"/>
          <w:sz w:val="32"/>
          <w:szCs w:val="32"/>
        </w:rPr>
        <w:t>201</w:t>
      </w:r>
      <w:r>
        <w:rPr>
          <w:rFonts w:hint="eastAsia" w:ascii="仿宋_GB2312" w:eastAsia="仿宋_GB2312" w:cs="DengXian-Regular"/>
          <w:color w:val="000000"/>
          <w:sz w:val="32"/>
          <w:szCs w:val="32"/>
          <w:lang w:val="en-US" w:eastAsia="zh-CN"/>
        </w:rPr>
        <w:t>7</w:t>
      </w:r>
      <w:r>
        <w:rPr>
          <w:rFonts w:hint="eastAsia" w:ascii="仿宋_GB2312" w:eastAsia="仿宋_GB2312" w:cs="DengXian-Regular"/>
          <w:color w:val="000000"/>
          <w:sz w:val="32"/>
          <w:szCs w:val="32"/>
        </w:rPr>
        <w:t>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年度单位公务用车保有量1辆。公车运行维护费支出较年初预算持平，主要是</w:t>
      </w:r>
      <w:r>
        <w:rPr>
          <w:rFonts w:hint="eastAsia" w:ascii="仿宋_GB2312" w:eastAsia="仿宋_GB2312"/>
          <w:sz w:val="32"/>
          <w:szCs w:val="32"/>
        </w:rPr>
        <w:t>严格执行中央、省、市、县压缩三公经费相关文件规定，厉行节俭、严格控制支出</w:t>
      </w:r>
      <w:r>
        <w:rPr>
          <w:rFonts w:hint="eastAsia" w:ascii="仿宋_GB2312" w:eastAsia="仿宋_GB2312" w:cs="DengXian-Regular"/>
          <w:sz w:val="32"/>
          <w:szCs w:val="32"/>
        </w:rPr>
        <w:t>；较</w:t>
      </w:r>
      <w:r>
        <w:rPr>
          <w:rFonts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年度决算持平，主要是</w:t>
      </w:r>
      <w:r>
        <w:rPr>
          <w:rFonts w:hint="eastAsia" w:ascii="仿宋_GB2312" w:eastAsia="仿宋_GB2312"/>
          <w:sz w:val="32"/>
          <w:szCs w:val="32"/>
        </w:rPr>
        <w:t>严格执行中央、省、市、县压缩三公经费相关文件规定，厉行节俭、严格控制支出</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.09万元。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年度公务接待共1批次、6人次。公务接待费支出较年初预算减少</w:t>
      </w:r>
      <w:r>
        <w:rPr>
          <w:rFonts w:ascii="仿宋_GB2312" w:eastAsia="仿宋_GB2312" w:cs="DengXian-Regular"/>
          <w:sz w:val="32"/>
          <w:szCs w:val="32"/>
        </w:rPr>
        <w:t>0.</w:t>
      </w:r>
      <w:r>
        <w:rPr>
          <w:rFonts w:hint="eastAsia" w:ascii="仿宋_GB2312" w:eastAsia="仿宋_GB2312" w:cs="DengXian-Regular"/>
          <w:sz w:val="32"/>
          <w:szCs w:val="32"/>
        </w:rPr>
        <w:t>0</w:t>
      </w:r>
      <w:r>
        <w:rPr>
          <w:rFonts w:ascii="仿宋_GB2312" w:eastAsia="仿宋_GB2312" w:cs="DengXian-Regular"/>
          <w:sz w:val="32"/>
          <w:szCs w:val="32"/>
        </w:rPr>
        <w:t>5</w:t>
      </w:r>
      <w:r>
        <w:rPr>
          <w:rFonts w:hint="eastAsia" w:ascii="仿宋_GB2312" w:eastAsia="仿宋_GB2312" w:cs="DengXian-Regular"/>
          <w:sz w:val="32"/>
          <w:szCs w:val="32"/>
        </w:rPr>
        <w:t>万元，降低35.71</w:t>
      </w:r>
      <w:r>
        <w:rPr>
          <w:rFonts w:ascii="仿宋_GB2312" w:eastAsia="仿宋_GB2312" w:cs="DengXian-Regular"/>
          <w:sz w:val="32"/>
          <w:szCs w:val="32"/>
        </w:rPr>
        <w:t>%,</w:t>
      </w:r>
      <w:r>
        <w:rPr>
          <w:rFonts w:hint="eastAsia" w:ascii="仿宋_GB2312" w:eastAsia="仿宋_GB2312" w:cs="DengXian-Regular"/>
          <w:sz w:val="32"/>
          <w:szCs w:val="32"/>
        </w:rPr>
        <w:t>主要是</w:t>
      </w:r>
      <w:r>
        <w:rPr>
          <w:rFonts w:hint="eastAsia" w:ascii="仿宋_GB2312" w:eastAsia="仿宋_GB2312"/>
          <w:sz w:val="32"/>
          <w:szCs w:val="32"/>
        </w:rPr>
        <w:t>严格执行中央、省、市、县压缩三公经费相关文件规定，厉行节俭、严格控制支出</w:t>
      </w:r>
      <w:r>
        <w:rPr>
          <w:rFonts w:hint="eastAsia" w:ascii="仿宋_GB2312" w:eastAsia="仿宋_GB2312" w:cs="DengXian-Regular"/>
          <w:sz w:val="32"/>
          <w:szCs w:val="32"/>
        </w:rPr>
        <w:t>；较</w:t>
      </w:r>
      <w:r>
        <w:rPr>
          <w:rFonts w:ascii="仿宋_GB2312" w:eastAsia="仿宋_GB2312" w:cs="DengXian-Regular"/>
          <w:sz w:val="32"/>
          <w:szCs w:val="32"/>
        </w:rPr>
        <w:t>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年度决算减少1.49万元，降低94.30</w:t>
      </w:r>
      <w:r>
        <w:rPr>
          <w:rFonts w:ascii="仿宋_GB2312" w:eastAsia="仿宋_GB2312" w:cs="DengXian-Regular"/>
          <w:sz w:val="32"/>
          <w:szCs w:val="32"/>
        </w:rPr>
        <w:t>%</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六、绩效预算</w:t>
      </w:r>
      <w:r>
        <w:rPr>
          <w:rFonts w:hint="eastAsia" w:ascii="黑体" w:hAnsi="Cambria" w:eastAsia="黑体" w:cs="黑体"/>
          <w:kern w:val="0"/>
        </w:rPr>
        <w:t>管理</w:t>
      </w:r>
      <w:r>
        <w:rPr>
          <w:rFonts w:hint="eastAsia" w:ascii="黑体" w:eastAsia="黑体"/>
        </w:rPr>
        <w:t>工作开展情况说明</w:t>
      </w:r>
    </w:p>
    <w:p>
      <w:pPr>
        <w:adjustRightInd w:val="0"/>
        <w:snapToGrid w:val="0"/>
        <w:spacing w:after="0" w:line="56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按照深化绩效预算管理的要求，</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 xml:space="preserve"> 年继续优化了“部门职责-工作活动-预算项目”的绩效预算管理结构，分三个层次分别制定了绩效目标和指标，力争可审核、可监控、可评价，将绩效管理融入项目管理全过程，为提高资金使用效果、规范预算管理打下了良好基础</w:t>
      </w:r>
      <w:r>
        <w:rPr>
          <w:rFonts w:hint="eastAsia" w:ascii="仿宋_GB2312" w:eastAsia="仿宋_GB2312" w:cs="DengXian-Regular"/>
          <w:sz w:val="32"/>
          <w:szCs w:val="32"/>
          <w:lang w:eastAsia="zh-CN"/>
        </w:rPr>
        <w:t>，</w:t>
      </w:r>
      <w:r>
        <w:rPr>
          <w:rFonts w:hint="eastAsia" w:ascii="仿宋_GB2312" w:eastAsia="仿宋_GB2312" w:cs="DengXian-Regular"/>
          <w:sz w:val="32"/>
          <w:szCs w:val="32"/>
        </w:rPr>
        <w:t>绩效目标达到了年初预算绩效目标要求。</w:t>
      </w:r>
    </w:p>
    <w:p>
      <w:pPr>
        <w:adjustRightInd w:val="0"/>
        <w:snapToGrid w:val="0"/>
        <w:spacing w:after="0" w:line="56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（二）预算项目绩效评价开展情况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为提高财政资金的使用效益和管理水平，按照</w:t>
      </w:r>
      <w:r>
        <w:rPr>
          <w:rFonts w:hint="eastAsia" w:ascii="仿宋_GB2312" w:eastAsia="仿宋_GB2312" w:cs="DengXian-Regular"/>
          <w:sz w:val="32"/>
          <w:szCs w:val="32"/>
          <w:lang w:eastAsia="zh-CN"/>
        </w:rPr>
        <w:t>县</w:t>
      </w:r>
      <w:r>
        <w:rPr>
          <w:rFonts w:hint="eastAsia" w:ascii="仿宋_GB2312" w:eastAsia="仿宋_GB2312" w:cs="DengXian-Regular"/>
          <w:sz w:val="32"/>
          <w:szCs w:val="32"/>
        </w:rPr>
        <w:t>财政局要求，对</w:t>
      </w:r>
      <w:r>
        <w:rPr>
          <w:rFonts w:hint="eastAsia" w:ascii="仿宋_GB2312" w:eastAsia="仿宋_GB2312" w:cs="DengXian-Regular"/>
          <w:sz w:val="32"/>
          <w:szCs w:val="32"/>
          <w:lang w:eastAsia="zh-CN"/>
        </w:rPr>
        <w:t>部</w:t>
      </w:r>
      <w:r>
        <w:rPr>
          <w:rFonts w:hint="eastAsia" w:ascii="仿宋_GB2312" w:eastAsia="仿宋_GB2312" w:cs="DengXian-Regular"/>
          <w:sz w:val="32"/>
          <w:szCs w:val="32"/>
        </w:rPr>
        <w:t xml:space="preserve"> </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 xml:space="preserve"> 年专项项目开展绩效自评价工作，成立了预算绩效管理领导小组。各专项项目分管处室组织成立本项目绩效评价工作小组实施专项项目绩效评价，确定评价结果等级，撰写绩效评价报告，报办公室。对绩效自评中发现的问题进行整改，堵塞项目管理中的漏洞，绩效评价结果与下年度预算安排挂钩，进一步提高财政资金的使用效益</w:t>
      </w:r>
      <w:r>
        <w:rPr>
          <w:rFonts w:hint="eastAsia" w:ascii="仿宋_GB2312" w:eastAsia="仿宋_GB2312" w:cs="DengXian-Regular"/>
          <w:sz w:val="32"/>
          <w:szCs w:val="32"/>
          <w:lang w:eastAsia="zh-CN"/>
        </w:rPr>
        <w:t>。</w:t>
      </w:r>
    </w:p>
    <w:p>
      <w:pPr>
        <w:pStyle w:val="3"/>
        <w:spacing w:before="0" w:after="0" w:line="560" w:lineRule="exact"/>
        <w:ind w:firstLine="643" w:firstLineChars="200"/>
        <w:rPr>
          <w:rFonts w:ascii="黑体" w:eastAsia="黑体"/>
        </w:rPr>
      </w:pPr>
      <w:r>
        <w:rPr>
          <w:rFonts w:hint="eastAsia" w:ascii="黑体" w:eastAsia="黑体"/>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年本部门机关运行经费支出78.28万元，比 201</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 xml:space="preserve"> 年减少持平。</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年度政府没有采购支出。</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 xml:space="preserve">截止 </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 xml:space="preserve"> 年 12 月 31 日，资产总额 </w:t>
      </w:r>
      <w:r>
        <w:rPr>
          <w:rFonts w:hint="eastAsia" w:ascii="仿宋_GB2312" w:eastAsia="仿宋_GB2312" w:cs="DengXian-Regular"/>
          <w:sz w:val="32"/>
          <w:szCs w:val="32"/>
          <w:lang w:val="en-US" w:eastAsia="zh-CN"/>
        </w:rPr>
        <w:t>74.98</w:t>
      </w:r>
      <w:r>
        <w:rPr>
          <w:rFonts w:hint="eastAsia" w:ascii="仿宋_GB2312" w:eastAsia="仿宋_GB2312" w:cs="DengXian-Regular"/>
          <w:sz w:val="32"/>
          <w:szCs w:val="32"/>
        </w:rPr>
        <w:t xml:space="preserve"> 万元。其中，固定资产</w:t>
      </w:r>
      <w:r>
        <w:rPr>
          <w:rFonts w:hint="eastAsia" w:ascii="仿宋_GB2312" w:eastAsia="仿宋_GB2312" w:cs="DengXian-Regular"/>
          <w:sz w:val="32"/>
          <w:szCs w:val="32"/>
          <w:lang w:val="en-US" w:eastAsia="zh-CN"/>
        </w:rPr>
        <w:t>74.98</w:t>
      </w:r>
      <w:r>
        <w:rPr>
          <w:rFonts w:hint="eastAsia" w:ascii="仿宋_GB2312" w:eastAsia="仿宋_GB2312" w:cs="DengXian-Regular"/>
          <w:sz w:val="32"/>
          <w:szCs w:val="32"/>
        </w:rPr>
        <w:t>万元，占资产总量的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%，与上年</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 xml:space="preserve">本部门有 </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 xml:space="preserve"> 辆机要应急车</w:t>
      </w:r>
      <w:r>
        <w:rPr>
          <w:rFonts w:hint="eastAsia" w:ascii="仿宋_GB2312" w:eastAsia="仿宋_GB2312" w:cs="DengXian-Regular"/>
          <w:sz w:val="32"/>
          <w:szCs w:val="32"/>
          <w:lang w:eastAsia="zh-CN"/>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2018</w:t>
      </w:r>
      <w:r>
        <w:rPr>
          <w:rFonts w:hint="eastAsia" w:ascii="仿宋_GB2312" w:eastAsia="仿宋_GB2312" w:cs="DengXian-Regular"/>
          <w:sz w:val="32"/>
          <w:szCs w:val="32"/>
        </w:rPr>
        <w:t>年度没有政府性基金预算财政拨款收入、国有资本经营预算财政拨款收入、政府采购情况，故</w:t>
      </w:r>
      <w:r>
        <w:rPr>
          <w:rFonts w:ascii="仿宋_GB2312" w:eastAsia="仿宋_GB2312" w:cs="DengXian-Regular"/>
          <w:sz w:val="32"/>
          <w:szCs w:val="32"/>
        </w:rPr>
        <w:t>0</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w:t>
      </w:r>
      <w:r>
        <w:rPr>
          <w:rFonts w:ascii="仿宋_GB2312" w:eastAsia="仿宋_GB2312" w:cs="DengXian-Regular"/>
          <w:sz w:val="32"/>
          <w:szCs w:val="32"/>
        </w:rPr>
        <w:t>0</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w:t>
      </w:r>
      <w:r>
        <w:rPr>
          <w:rFonts w:ascii="仿宋_GB2312" w:eastAsia="仿宋_GB2312" w:cs="DengXian-Regular"/>
          <w:sz w:val="32"/>
          <w:szCs w:val="32"/>
        </w:rPr>
        <w:t xml:space="preserve">10 </w:t>
      </w:r>
      <w:r>
        <w:rPr>
          <w:rFonts w:hint="eastAsia" w:ascii="仿宋_GB2312" w:eastAsia="仿宋_GB2312" w:cs="DengXian-Regular"/>
          <w:sz w:val="32"/>
          <w:szCs w:val="32"/>
        </w:rPr>
        <w:t>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pStyle w:val="2"/>
        <w:jc w:val="center"/>
        <w:rPr>
          <w:rFonts w:ascii="宋体" w:cs="SimSun,Bold"/>
        </w:rPr>
      </w:pPr>
      <w:r>
        <w:rPr>
          <w:rFonts w:hint="eastAsia" w:ascii="宋体" w:hAnsi="宋体" w:cs="SimSun,Bold"/>
        </w:rPr>
        <w:t>第四部分</w:t>
      </w:r>
      <w:r>
        <w:rPr>
          <w:rFonts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w:t>
      </w:r>
      <w:r>
        <w:rPr>
          <w:rFonts w:ascii="仿宋_GB2312" w:hAnsi="宋体" w:eastAsia="仿宋_GB2312"/>
          <w:color w:val="000000"/>
          <w:kern w:val="0"/>
          <w:sz w:val="32"/>
          <w:szCs w:val="32"/>
        </w:rPr>
        <w:t xml:space="preserve"> </w:t>
      </w:r>
      <w:r>
        <w:rPr>
          <w:rFonts w:hint="eastAsia" w:ascii="仿宋_GB2312" w:hAnsi="宋体" w:eastAsia="仿宋_GB2312"/>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script"/>
    <w:pitch w:val="default"/>
    <w:sig w:usb0="A00002BF" w:usb1="38CF7CFA" w:usb2="00082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SimSun,Bold">
    <w:altName w:val="宋体"/>
    <w:panose1 w:val="00000000000000000000"/>
    <w:charset w:val="86"/>
    <w:family w:val="auto"/>
    <w:pitch w:val="default"/>
    <w:sig w:usb0="00000000" w:usb1="00000000" w:usb2="00000010" w:usb3="00000000" w:csb0="00040000" w:csb1="0000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175E4"/>
    <w:rsid w:val="00024E7F"/>
    <w:rsid w:val="000475A0"/>
    <w:rsid w:val="00052941"/>
    <w:rsid w:val="00075837"/>
    <w:rsid w:val="000E2F81"/>
    <w:rsid w:val="00152FB8"/>
    <w:rsid w:val="001A670E"/>
    <w:rsid w:val="001B3410"/>
    <w:rsid w:val="001C030D"/>
    <w:rsid w:val="0022354B"/>
    <w:rsid w:val="00266B79"/>
    <w:rsid w:val="002C04C4"/>
    <w:rsid w:val="002D08B0"/>
    <w:rsid w:val="002D7162"/>
    <w:rsid w:val="002E4FF8"/>
    <w:rsid w:val="0030514A"/>
    <w:rsid w:val="003374CC"/>
    <w:rsid w:val="00341C8F"/>
    <w:rsid w:val="00391D9D"/>
    <w:rsid w:val="00396912"/>
    <w:rsid w:val="003B6C51"/>
    <w:rsid w:val="003C1413"/>
    <w:rsid w:val="003C1625"/>
    <w:rsid w:val="003C549F"/>
    <w:rsid w:val="003D5A16"/>
    <w:rsid w:val="00423761"/>
    <w:rsid w:val="0045658E"/>
    <w:rsid w:val="00457171"/>
    <w:rsid w:val="004617F6"/>
    <w:rsid w:val="00492E90"/>
    <w:rsid w:val="00523D09"/>
    <w:rsid w:val="0056015B"/>
    <w:rsid w:val="005A355E"/>
    <w:rsid w:val="005A4201"/>
    <w:rsid w:val="005F4B66"/>
    <w:rsid w:val="00641318"/>
    <w:rsid w:val="0070664B"/>
    <w:rsid w:val="007071B8"/>
    <w:rsid w:val="007414DE"/>
    <w:rsid w:val="007905A9"/>
    <w:rsid w:val="007C50E2"/>
    <w:rsid w:val="007E5500"/>
    <w:rsid w:val="00840A97"/>
    <w:rsid w:val="00871083"/>
    <w:rsid w:val="00881A89"/>
    <w:rsid w:val="00886B33"/>
    <w:rsid w:val="008A4853"/>
    <w:rsid w:val="008B21C9"/>
    <w:rsid w:val="008B7D59"/>
    <w:rsid w:val="008C0149"/>
    <w:rsid w:val="008D06DA"/>
    <w:rsid w:val="008E6FDE"/>
    <w:rsid w:val="00937793"/>
    <w:rsid w:val="0094349A"/>
    <w:rsid w:val="00943F93"/>
    <w:rsid w:val="009535DC"/>
    <w:rsid w:val="009A1ABE"/>
    <w:rsid w:val="00A35CE0"/>
    <w:rsid w:val="00A44AA4"/>
    <w:rsid w:val="00A53F85"/>
    <w:rsid w:val="00A61623"/>
    <w:rsid w:val="00A746A0"/>
    <w:rsid w:val="00A84687"/>
    <w:rsid w:val="00AD3B6E"/>
    <w:rsid w:val="00B17F6B"/>
    <w:rsid w:val="00B56722"/>
    <w:rsid w:val="00BB7DCC"/>
    <w:rsid w:val="00BE05A9"/>
    <w:rsid w:val="00BE59F3"/>
    <w:rsid w:val="00C35BFC"/>
    <w:rsid w:val="00C3774E"/>
    <w:rsid w:val="00C87FAB"/>
    <w:rsid w:val="00C91FF7"/>
    <w:rsid w:val="00C94E53"/>
    <w:rsid w:val="00D70454"/>
    <w:rsid w:val="00D74E5B"/>
    <w:rsid w:val="00D833B8"/>
    <w:rsid w:val="00DB35AF"/>
    <w:rsid w:val="00DE3598"/>
    <w:rsid w:val="00DF5B88"/>
    <w:rsid w:val="00E2595E"/>
    <w:rsid w:val="00E35374"/>
    <w:rsid w:val="00E50C19"/>
    <w:rsid w:val="00E64524"/>
    <w:rsid w:val="00E856C9"/>
    <w:rsid w:val="00EB6A8B"/>
    <w:rsid w:val="00EC3A2C"/>
    <w:rsid w:val="00EE2EBD"/>
    <w:rsid w:val="00EF38C6"/>
    <w:rsid w:val="00F4438A"/>
    <w:rsid w:val="00FC653A"/>
    <w:rsid w:val="00FE3DC8"/>
    <w:rsid w:val="0CFA0FE4"/>
    <w:rsid w:val="12ED1C10"/>
    <w:rsid w:val="143707E6"/>
    <w:rsid w:val="18306D04"/>
    <w:rsid w:val="1D223432"/>
    <w:rsid w:val="1F794B72"/>
    <w:rsid w:val="307D38D2"/>
    <w:rsid w:val="32A228BF"/>
    <w:rsid w:val="479F676C"/>
    <w:rsid w:val="4C0D55D5"/>
    <w:rsid w:val="4C6871A2"/>
    <w:rsid w:val="662208F1"/>
    <w:rsid w:val="6F33724E"/>
    <w:rsid w:val="7B8809EF"/>
    <w:rsid w:val="7D505C7E"/>
    <w:rsid w:val="7F61374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9"/>
    <w:semiHidden/>
    <w:qFormat/>
    <w:uiPriority w:val="99"/>
    <w:rPr>
      <w:sz w:val="18"/>
      <w:szCs w:val="18"/>
    </w:rPr>
  </w:style>
  <w:style w:type="paragraph" w:styleId="7">
    <w:name w:val="footer"/>
    <w:basedOn w:val="1"/>
    <w:link w:val="20"/>
    <w:qFormat/>
    <w:uiPriority w:val="99"/>
    <w:pPr>
      <w:tabs>
        <w:tab w:val="center" w:pos="4153"/>
        <w:tab w:val="right" w:pos="8306"/>
      </w:tabs>
      <w:snapToGrid w:val="0"/>
      <w:jc w:val="left"/>
    </w:pPr>
    <w:rPr>
      <w:rFonts w:ascii="Cambria" w:hAnsi="Cambria" w:eastAsia="黑体"/>
      <w:sz w:val="18"/>
      <w:szCs w:val="18"/>
    </w:rPr>
  </w:style>
  <w:style w:type="paragraph" w:styleId="8">
    <w:name w:val="header"/>
    <w:basedOn w:val="1"/>
    <w:link w:val="21"/>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9">
    <w:name w:val="Subtitle"/>
    <w:basedOn w:val="1"/>
    <w:next w:val="1"/>
    <w:link w:val="22"/>
    <w:qFormat/>
    <w:uiPriority w:val="99"/>
    <w:pPr>
      <w:widowControl/>
      <w:spacing w:after="200" w:line="276" w:lineRule="auto"/>
      <w:jc w:val="left"/>
    </w:pPr>
    <w:rPr>
      <w:rFonts w:ascii="Calibri" w:hAnsi="Calibri"/>
      <w:i/>
      <w:iCs/>
      <w:color w:val="F0A22E"/>
      <w:spacing w:val="15"/>
      <w:kern w:val="0"/>
      <w:sz w:val="24"/>
    </w:rPr>
  </w:style>
  <w:style w:type="paragraph" w:styleId="10">
    <w:name w:val="Normal (Web)"/>
    <w:basedOn w:val="1"/>
    <w:semiHidden/>
    <w:qFormat/>
    <w:uiPriority w:val="99"/>
    <w:pPr>
      <w:widowControl/>
      <w:spacing w:before="100" w:beforeAutospacing="1" w:after="100" w:afterAutospacing="1" w:line="240" w:lineRule="auto"/>
      <w:jc w:val="left"/>
    </w:pPr>
    <w:rPr>
      <w:rFonts w:ascii="宋体" w:hAnsi="宋体" w:cs="宋体"/>
      <w:kern w:val="0"/>
      <w:sz w:val="24"/>
    </w:rPr>
  </w:style>
  <w:style w:type="paragraph" w:styleId="11">
    <w:name w:val="Title"/>
    <w:basedOn w:val="1"/>
    <w:next w:val="1"/>
    <w:link w:val="23"/>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qFormat/>
    <w:uiPriority w:val="99"/>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标题 1 Char"/>
    <w:basedOn w:val="14"/>
    <w:link w:val="2"/>
    <w:qFormat/>
    <w:locked/>
    <w:uiPriority w:val="99"/>
    <w:rPr>
      <w:rFonts w:ascii="Times New Roman" w:hAnsi="Times New Roman" w:eastAsia="宋体" w:cs="Times New Roman"/>
      <w:b/>
      <w:bCs/>
      <w:kern w:val="44"/>
      <w:sz w:val="44"/>
      <w:szCs w:val="44"/>
    </w:rPr>
  </w:style>
  <w:style w:type="character" w:customStyle="1" w:styleId="16">
    <w:name w:val="标题 2 Char"/>
    <w:basedOn w:val="14"/>
    <w:link w:val="3"/>
    <w:qFormat/>
    <w:locked/>
    <w:uiPriority w:val="99"/>
    <w:rPr>
      <w:rFonts w:ascii="Calibri" w:hAnsi="Calibri" w:eastAsia="宋体" w:cs="Times New Roman"/>
      <w:b/>
      <w:bCs/>
      <w:sz w:val="32"/>
      <w:szCs w:val="32"/>
    </w:rPr>
  </w:style>
  <w:style w:type="character" w:customStyle="1" w:styleId="17">
    <w:name w:val="标题 3 Char"/>
    <w:basedOn w:val="14"/>
    <w:link w:val="4"/>
    <w:qFormat/>
    <w:locked/>
    <w:uiPriority w:val="99"/>
    <w:rPr>
      <w:rFonts w:ascii="Times New Roman" w:hAnsi="Times New Roman" w:eastAsia="宋体" w:cs="Times New Roman"/>
      <w:b/>
      <w:bCs/>
      <w:sz w:val="32"/>
      <w:szCs w:val="32"/>
    </w:rPr>
  </w:style>
  <w:style w:type="character" w:customStyle="1" w:styleId="18">
    <w:name w:val="标题 4 Char"/>
    <w:basedOn w:val="14"/>
    <w:link w:val="5"/>
    <w:qFormat/>
    <w:locked/>
    <w:uiPriority w:val="99"/>
    <w:rPr>
      <w:rFonts w:ascii="Calibri" w:hAnsi="Calibri" w:eastAsia="宋体" w:cs="Times New Roman"/>
      <w:b/>
      <w:bCs/>
      <w:sz w:val="28"/>
      <w:szCs w:val="28"/>
    </w:rPr>
  </w:style>
  <w:style w:type="character" w:customStyle="1" w:styleId="19">
    <w:name w:val="批注框文本 Char"/>
    <w:basedOn w:val="14"/>
    <w:link w:val="6"/>
    <w:semiHidden/>
    <w:qFormat/>
    <w:locked/>
    <w:uiPriority w:val="99"/>
    <w:rPr>
      <w:rFonts w:ascii="Times New Roman" w:hAnsi="Times New Roman" w:eastAsia="宋体" w:cs="Times New Roman"/>
      <w:sz w:val="18"/>
      <w:szCs w:val="18"/>
    </w:rPr>
  </w:style>
  <w:style w:type="character" w:customStyle="1" w:styleId="20">
    <w:name w:val="页脚 Char"/>
    <w:basedOn w:val="14"/>
    <w:link w:val="7"/>
    <w:qFormat/>
    <w:locked/>
    <w:uiPriority w:val="99"/>
    <w:rPr>
      <w:rFonts w:cs="Times New Roman"/>
      <w:sz w:val="18"/>
      <w:szCs w:val="18"/>
    </w:rPr>
  </w:style>
  <w:style w:type="character" w:customStyle="1" w:styleId="21">
    <w:name w:val="页眉 Char"/>
    <w:basedOn w:val="14"/>
    <w:link w:val="8"/>
    <w:qFormat/>
    <w:locked/>
    <w:uiPriority w:val="99"/>
    <w:rPr>
      <w:rFonts w:cs="Times New Roman"/>
      <w:sz w:val="18"/>
      <w:szCs w:val="18"/>
    </w:rPr>
  </w:style>
  <w:style w:type="character" w:customStyle="1" w:styleId="22">
    <w:name w:val="副标题 Char"/>
    <w:basedOn w:val="14"/>
    <w:link w:val="9"/>
    <w:qFormat/>
    <w:locked/>
    <w:uiPriority w:val="99"/>
    <w:rPr>
      <w:rFonts w:ascii="Calibri" w:hAnsi="Calibri" w:eastAsia="宋体" w:cs="Times New Roman"/>
      <w:i/>
      <w:iCs/>
      <w:color w:val="F0A22E"/>
      <w:spacing w:val="15"/>
      <w:kern w:val="0"/>
      <w:sz w:val="24"/>
      <w:szCs w:val="24"/>
    </w:rPr>
  </w:style>
  <w:style w:type="character" w:customStyle="1" w:styleId="23">
    <w:name w:val="标题 Char"/>
    <w:basedOn w:val="14"/>
    <w:link w:val="11"/>
    <w:qFormat/>
    <w:locked/>
    <w:uiPriority w:val="99"/>
    <w:rPr>
      <w:rFonts w:ascii="Calibri" w:hAnsi="Calibri" w:eastAsia="宋体" w:cs="Times New Roman"/>
      <w:color w:val="3A2C24"/>
      <w:spacing w:val="5"/>
      <w:kern w:val="28"/>
      <w:sz w:val="52"/>
      <w:szCs w:val="52"/>
    </w:rPr>
  </w:style>
  <w:style w:type="paragraph" w:styleId="24">
    <w:name w:val="No Spacing"/>
    <w:link w:val="25"/>
    <w:qFormat/>
    <w:uiPriority w:val="99"/>
    <w:pPr>
      <w:spacing w:after="160" w:line="480" w:lineRule="auto"/>
    </w:pPr>
    <w:rPr>
      <w:rFonts w:ascii="Cambria" w:hAnsi="Cambria" w:eastAsia="黑体" w:cs="Times New Roman"/>
      <w:sz w:val="22"/>
      <w:szCs w:val="22"/>
      <w:lang w:val="en-US" w:eastAsia="zh-CN" w:bidi="ar-SA"/>
    </w:rPr>
  </w:style>
  <w:style w:type="character" w:customStyle="1" w:styleId="25">
    <w:name w:val="无间隔 Char"/>
    <w:basedOn w:val="14"/>
    <w:link w:val="24"/>
    <w:qFormat/>
    <w:locked/>
    <w:uiPriority w:val="99"/>
    <w:rPr>
      <w:rFonts w:ascii="Cambria" w:hAnsi="Cambria" w:eastAsia="黑体"/>
      <w:sz w:val="22"/>
      <w:szCs w:val="22"/>
      <w:lang w:val="en-US" w:eastAsia="zh-CN" w:bidi="ar-SA"/>
    </w:rPr>
  </w:style>
  <w:style w:type="character" w:customStyle="1" w:styleId="26">
    <w:name w:val="Style1"/>
    <w:basedOn w:val="14"/>
    <w:qFormat/>
    <w:uiPriority w:val="99"/>
    <w:rPr>
      <w:rFonts w:ascii="Cambria" w:hAnsi="黑体" w:eastAsia="黑体" w:cs="Times New Roman"/>
      <w:sz w:val="22"/>
      <w:szCs w:val="22"/>
      <w:lang w:eastAsia="zh-CN"/>
    </w:rPr>
  </w:style>
  <w:style w:type="character" w:customStyle="1" w:styleId="27">
    <w:name w:val="Style2"/>
    <w:basedOn w:val="14"/>
    <w:qFormat/>
    <w:uiPriority w:val="99"/>
    <w:rPr>
      <w:rFonts w:ascii="Cambria" w:hAnsi="黑体" w:eastAsia="黑体" w:cs="Times New Roman"/>
      <w:sz w:val="22"/>
      <w:szCs w:val="22"/>
      <w:lang w:eastAsia="zh-CN"/>
    </w:rPr>
  </w:style>
  <w:style w:type="character" w:customStyle="1" w:styleId="28">
    <w:name w:val="Style3"/>
    <w:basedOn w:val="14"/>
    <w:qFormat/>
    <w:uiPriority w:val="99"/>
    <w:rPr>
      <w:rFonts w:ascii="Cambria" w:hAnsi="黑体" w:eastAsia="黑体" w:cs="Times New Roman"/>
      <w:sz w:val="22"/>
      <w:szCs w:val="22"/>
      <w:lang w:eastAsia="zh-CN"/>
    </w:rPr>
  </w:style>
  <w:style w:type="character" w:customStyle="1" w:styleId="29">
    <w:name w:val="Style4"/>
    <w:basedOn w:val="14"/>
    <w:qFormat/>
    <w:uiPriority w:val="99"/>
    <w:rPr>
      <w:rFonts w:ascii="Cambria" w:hAnsi="黑体" w:eastAsia="黑体" w:cs="Times New Roman"/>
      <w:sz w:val="22"/>
      <w:szCs w:val="22"/>
      <w:lang w:eastAsia="zh-CN"/>
    </w:rPr>
  </w:style>
  <w:style w:type="character" w:customStyle="1" w:styleId="30">
    <w:name w:val="Style5"/>
    <w:basedOn w:val="14"/>
    <w:qFormat/>
    <w:uiPriority w:val="99"/>
    <w:rPr>
      <w:rFonts w:ascii="Cambria" w:hAnsi="黑体" w:eastAsia="黑体" w:cs="Times New Roman"/>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640</Words>
  <Characters>3648</Characters>
  <Lines>30</Lines>
  <Paragraphs>8</Paragraphs>
  <TotalTime>31</TotalTime>
  <ScaleCrop>false</ScaleCrop>
  <LinksUpToDate>false</LinksUpToDate>
  <CharactersWithSpaces>4280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2018-10-22T03:07:00Z</dcterms:created>
  <dc:creator>User</dc:creator>
  <cp:lastModifiedBy>吴小优呵呵</cp:lastModifiedBy>
  <dcterms:modified xsi:type="dcterms:W3CDTF">2021-05-08T00:27:53Z</dcterms:modified>
  <dc:subject>石家庄市xxx部门</dc:subject>
  <dc:title>2017年度部门决算</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68BC17D0745D42929974C3ADC6C979E2</vt:lpwstr>
  </property>
  <property fmtid="{D5CDD505-2E9C-101B-9397-08002B2CF9AE}" pid="4" name="KSOSaveFontToCloudKey">
    <vt:lpwstr>230856739_btnclosed</vt:lpwstr>
  </property>
</Properties>
</file>