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Theme="minorEastAsia" w:hAnsiTheme="minorEastAsia" w:eastAsiaTheme="minorEastAsia"/>
          <w:b/>
          <w:sz w:val="72"/>
          <w:szCs w:val="72"/>
        </w:rPr>
      </w:pPr>
      <w:r>
        <w:rPr>
          <w:rFonts w:hint="eastAsia" w:hAnsi="宋体" w:asciiTheme="minorEastAsia" w:eastAsiaTheme="minorEastAsia"/>
          <w:color w:val="002060"/>
          <w:sz w:val="72"/>
          <w:szCs w:val="72"/>
        </w:rPr>
        <w:drawing>
          <wp:anchor distT="0" distB="0" distL="114300" distR="114300" simplePos="0" relativeHeight="251659264" behindDoc="1" locked="0" layoutInCell="1" allowOverlap="1">
            <wp:simplePos x="0" y="0"/>
            <wp:positionH relativeFrom="column">
              <wp:posOffset>-1000125</wp:posOffset>
            </wp:positionH>
            <wp:positionV relativeFrom="paragraph">
              <wp:posOffset>-1355090</wp:posOffset>
            </wp:positionV>
            <wp:extent cx="7576820" cy="10796905"/>
            <wp:effectExtent l="0" t="0" r="5080" b="4445"/>
            <wp:wrapNone/>
            <wp:docPr id="7"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1"/>
                    </pic:cNvPicPr>
                  </pic:nvPicPr>
                  <pic:blipFill>
                    <a:blip r:embed="rId6" cstate="print"/>
                    <a:stretch>
                      <a:fillRect/>
                    </a:stretch>
                  </pic:blipFill>
                  <pic:spPr>
                    <a:xfrm>
                      <a:off x="0" y="0"/>
                      <a:ext cx="7576820" cy="10796905"/>
                    </a:xfrm>
                    <a:prstGeom prst="rect">
                      <a:avLst/>
                    </a:prstGeom>
                  </pic:spPr>
                </pic:pic>
              </a:graphicData>
            </a:graphic>
          </wp:anchor>
        </w:drawing>
      </w:r>
    </w:p>
    <w:p>
      <w:pPr>
        <w:widowControl/>
        <w:jc w:val="center"/>
        <w:rPr>
          <w:rFonts w:hAnsi="宋体" w:asciiTheme="minorEastAsia" w:eastAsiaTheme="minorEastAsia"/>
          <w:color w:val="002060"/>
          <w:sz w:val="72"/>
          <w:szCs w:val="72"/>
        </w:rPr>
      </w:pPr>
      <w:r>
        <w:rPr>
          <w:sz w:val="72"/>
        </w:rPr>
        <w:pict>
          <v:shape id="_x0000_s1026" o:spid="_x0000_s1026" o:spt="202" type="#_x0000_t202" style="position:absolute;left:0pt;margin-left:-83.1pt;margin-top:43.25pt;height:166.25pt;width:596.2pt;z-index:251660288;mso-width-relative:page;mso-height-relative:page;" filled="f" stroked="f" coordsize="21600,21600" o:gfxdata="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高邑县农业局</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w:t>
                  </w:r>
                </w:p>
                <w:p>
                  <w:pPr>
                    <w:rPr>
                      <w:color w:val="FDEFBE"/>
                      <w:sz w:val="96"/>
                      <w:szCs w:val="96"/>
                    </w:rPr>
                  </w:pPr>
                </w:p>
              </w:txbxContent>
            </v:textbox>
          </v:shape>
        </w:pict>
      </w: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楷体" w:hAnsi="楷体" w:eastAsia="楷体" w:cs="楷体"/>
          <w:b/>
          <w:sz w:val="40"/>
          <w:szCs w:val="40"/>
        </w:rPr>
      </w:pPr>
    </w:p>
    <w:p>
      <w:pPr>
        <w:widowControl/>
        <w:jc w:val="center"/>
        <w:rPr>
          <w:rFonts w:ascii="楷体_GB2312" w:hAnsi="楷体" w:eastAsia="楷体_GB2312" w:cs="楷体"/>
          <w:b/>
          <w:sz w:val="40"/>
          <w:szCs w:val="40"/>
        </w:rPr>
        <w:sectPr>
          <w:pgSz w:w="11906" w:h="16838"/>
          <w:pgMar w:top="2098" w:right="1474" w:bottom="1985" w:left="1588" w:header="851" w:footer="992" w:gutter="0"/>
          <w:cols w:space="425"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w:t>
      </w:r>
      <w:r>
        <w:rPr>
          <w:rFonts w:hint="eastAsia" w:ascii="宋体" w:hAnsi="宋体" w:cs="宋体"/>
          <w:b/>
          <w:sz w:val="40"/>
          <w:szCs w:val="40"/>
        </w:rPr>
        <w:t>十</w:t>
      </w:r>
      <w:r>
        <w:rPr>
          <w:rFonts w:hint="eastAsia" w:ascii="楷体_GB2312" w:hAnsi="楷体" w:eastAsia="楷体_GB2312" w:cs="楷体"/>
          <w:b/>
          <w:sz w:val="40"/>
          <w:szCs w:val="40"/>
        </w:rPr>
        <w:t>月</w:t>
      </w:r>
      <w:r>
        <w:rPr>
          <w:rFonts w:hint="eastAsia" w:ascii="宋体" w:hAnsi="宋体" w:cs="宋体"/>
          <w:b/>
          <w:sz w:val="40"/>
          <w:szCs w:val="40"/>
        </w:rPr>
        <w:t>八</w:t>
      </w:r>
      <w:r>
        <w:rPr>
          <w:rFonts w:hint="eastAsia" w:ascii="楷体_GB2312" w:hAnsi="楷体" w:eastAsia="楷体_GB2312" w:cs="楷体"/>
          <w:b/>
          <w:sz w:val="40"/>
          <w:szCs w:val="40"/>
        </w:rPr>
        <w:t>日</w:t>
      </w:r>
    </w:p>
    <w:p>
      <w:pPr>
        <w:spacing w:before="624" w:beforeLines="200" w:after="0" w:line="1000" w:lineRule="exact"/>
        <w:jc w:val="center"/>
        <w:rPr>
          <w:rFonts w:ascii="黑体" w:eastAsia="黑体"/>
          <w:sz w:val="48"/>
          <w:szCs w:val="48"/>
        </w:rPr>
      </w:pPr>
      <w:r>
        <w:rPr>
          <w:sz w:val="48"/>
          <w:szCs w:val="28"/>
        </w:rPr>
        <w:pict>
          <v:group id="组合 97" o:spid="_x0000_s1062" o:spt="203" style="position:absolute;left:0pt;margin-left:-80.8pt;margin-top:39.95pt;height:46.7pt;width:250.05pt;mso-position-vertical-relative:page;z-index:251674624;mso-width-relative:page;mso-height-relative:page;" coordorigin="45,526" coordsize="85,13982" o:allowoverlap="f" o:gfxdata="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2DzDVNsAAAALAQAADwAAAAAAAAAB&#10;ACAAAAAiAAAAZHJzL2Rvd25yZXYueG1sUEsBAhQAFAAAAAgAh07iQGAz84oqAwAAEAkAAA4AAAAA&#10;AAAAAQAgAAAAKgEAAGRycy9lMm9Eb2MueG1sUEsFBgAAAAAGAAYAWQEAAMYGAAAAAA==&#10;">
            <o:lock v:ext="edit"/>
            <v:rect id="矩形 13" o:spid="_x0000_s1064" o:spt="1" style="position:absolute;left:45;top:526;height:11;width:85;v-text-anchor:middle;" fillcolor="#B8B8B8" filled="t" stroked="f" coordsize="21600,21600" o:gfxdata="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GosXo&#10;wAAAANwAAAAPAAAAAAAAAAEAIAAAACIAAABkcnMvZG93bnJldi54bWxQSwECFAAUAAAACACHTuJA&#10;My8FnjsAAAA5AAAAEAAAAAAAAAABACAAAAAPAQAAZHJzL3NoYXBleG1sLnhtbFBLBQYAAAAABgAG&#10;AFsBAAC5AwAAAAA=&#10;">
              <v:path/>
              <v:fill on="t" focussize="0,0"/>
              <v:stroke on="f" weight="2pt"/>
              <v:imagedata o:title=""/>
              <o:lock v:ext="edit"/>
            </v:rect>
            <v:rect id="矩形 14" o:spid="_x0000_s1063" o:spt="1" style="position:absolute;left:45;top:528;height:12;width:84;v-text-anchor:middle;" fillcolor="#AD002D" filled="t" stroked="t" coordsize="21600,21600" o:gfxdata="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Hr2V68AAAA&#10;3AAAAA8AAAAAAAAAAQAgAAAAIgAAAGRycy9kb3ducmV2LnhtbFBLAQIUABQAAAAIAIdO4kAzLwWe&#10;OwAAADkAAAAQAAAAAAAAAAEAIAAAAAsBAABkcnMvc2hhcGV4bWwueG1sUEsFBgAAAAAGAAYAWwEA&#10;ALUDAAAAAA==&#10;">
              <v:path/>
              <v:fill on="t" focussize="0,0"/>
              <v:stroke weight="2pt" color="#805514" joinstyle="round"/>
              <v:imagedata o:title=""/>
              <o:lock v:ext="edit"/>
              <v:textbox>
                <w:txbxContent>
                  <w:p/>
                </w:txbxContent>
              </v:textbox>
            </v:rect>
            <w10:anchorlock/>
          </v:group>
        </w:pict>
      </w:r>
      <w:r>
        <w:rPr>
          <w:rFonts w:hint="eastAsia" w:ascii="黑体" w:eastAsia="黑体"/>
          <w:sz w:val="48"/>
          <w:szCs w:val="48"/>
        </w:rPr>
        <w:t>目    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第一部分</w:t>
      </w:r>
      <w:r>
        <w:rPr>
          <w:rFonts w:hint="eastAsia" w:eastAsia="黑体"/>
          <w:sz w:val="32"/>
          <w:szCs w:val="32"/>
        </w:rPr>
        <w:t>高邑县农业局</w:t>
      </w:r>
      <w:r>
        <w:rPr>
          <w:rFonts w:eastAsia="黑体"/>
          <w:sz w:val="32"/>
          <w:szCs w:val="32"/>
        </w:rPr>
        <w:t>概况</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pPr>
        <w:widowControl/>
        <w:spacing w:line="580" w:lineRule="exact"/>
        <w:ind w:firstLine="640" w:firstLineChars="200"/>
        <w:rPr>
          <w:rFonts w:eastAsia="仿宋_GB2312"/>
          <w:sz w:val="20"/>
          <w:szCs w:val="32"/>
        </w:rPr>
      </w:pPr>
      <w:r>
        <w:rPr>
          <w:rFonts w:eastAsia="黑体"/>
          <w:sz w:val="32"/>
          <w:szCs w:val="32"/>
        </w:rPr>
        <w:t>第二部分   201</w:t>
      </w:r>
      <w:r>
        <w:rPr>
          <w:rFonts w:hint="eastAsia" w:eastAsia="黑体"/>
          <w:sz w:val="32"/>
          <w:szCs w:val="32"/>
        </w:rPr>
        <w:t>8</w:t>
      </w:r>
      <w:r>
        <w:rPr>
          <w:rFonts w:eastAsia="黑体"/>
          <w:sz w:val="32"/>
          <w:szCs w:val="32"/>
        </w:rPr>
        <w:t>年度</w:t>
      </w:r>
      <w:r>
        <w:rPr>
          <w:rFonts w:hint="eastAsia" w:eastAsia="黑体"/>
          <w:sz w:val="32"/>
          <w:szCs w:val="32"/>
        </w:rPr>
        <w:t>高邑县农业局</w:t>
      </w:r>
      <w:r>
        <w:rPr>
          <w:rFonts w:eastAsia="黑体"/>
          <w:sz w:val="32"/>
          <w:szCs w:val="32"/>
        </w:rPr>
        <w:t>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r>
        <w:rPr>
          <w:rFonts w:eastAsia="黑体"/>
          <w:sz w:val="32"/>
          <w:szCs w:val="32"/>
        </w:rPr>
        <w:t xml:space="preserve">第三部分  </w:t>
      </w:r>
      <w:r>
        <w:rPr>
          <w:rFonts w:hint="eastAsia" w:eastAsia="黑体"/>
          <w:sz w:val="32"/>
          <w:szCs w:val="32"/>
        </w:rPr>
        <w:t>高邑县农业局</w:t>
      </w:r>
      <w:r>
        <w:rPr>
          <w:rFonts w:eastAsia="黑体"/>
          <w:sz w:val="32"/>
          <w:szCs w:val="32"/>
        </w:rPr>
        <w:t>201</w:t>
      </w:r>
      <w:r>
        <w:rPr>
          <w:rFonts w:hint="eastAsia" w:eastAsia="黑体"/>
          <w:sz w:val="32"/>
          <w:szCs w:val="32"/>
        </w:rPr>
        <w:t>8</w:t>
      </w:r>
      <w:r>
        <w:rPr>
          <w:rFonts w:eastAsia="黑体"/>
          <w:sz w:val="32"/>
          <w:szCs w:val="32"/>
        </w:rPr>
        <w:t>年部门决算情况说明</w:t>
      </w:r>
      <w:r>
        <w:rPr>
          <w:sz w:val="44"/>
        </w:rPr>
        <w:pict>
          <v:group id="组合 94" o:spid="_x0000_s1059" o:spt="203" style="position:absolute;left:0pt;margin-left:-80.8pt;margin-top:38.95pt;height:46.7pt;width:222.8pt;mso-position-vertical-relative:page;z-index:251673600;mso-width-relative:page;mso-height-relative:page;" coordorigin="45,526" coordsize="85,13982" o:gfxdata="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">
            <o:lock v:ext="edit"/>
            <v:rect id="矩形 13" o:spid="_x0000_s1061" o:spt="1" style="position:absolute;left:45;top:526;height:11;width:85;v-text-anchor:middle;" fillcolor="#B8B8B8" filled="t" stroked="f" coordsize="21600,21600" o:gfxdata="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8ni27vQAA&#10;ANwAAAAPAAAAAAAAAAEAIAAAACIAAABkcnMvZG93bnJldi54bWxQSwECFAAUAAAACACHTuJAMy8F&#10;njsAAAA5AAAAEAAAAAAAAAABACAAAAAMAQAAZHJzL3NoYXBleG1sLnhtbFBLBQYAAAAABgAGAFsB&#10;AAC2AwAAAAA=&#10;">
              <v:path/>
              <v:fill on="t" focussize="0,0"/>
              <v:stroke on="f" weight="2pt"/>
              <v:imagedata o:title=""/>
              <o:lock v:ext="edit"/>
            </v:rect>
            <v:rect id="矩形 14" o:spid="_x0000_s1060" o:spt="1" style="position:absolute;left:45;top:528;height:12;width:84;v-text-anchor:middle;" fillcolor="#AD002D" filled="t" stroked="t" coordsize="21600,21600" o:gfxdata="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lBADk&#10;wAAAANwAAAAPAAAAAAAAAAEAIAAAACIAAABkcnMvZG93bnJldi54bWxQSwECFAAUAAAACACHTuJA&#10;My8FnjsAAAA5AAAAEAAAAAAAAAABACAAAAAPAQAAZHJzL3NoYXBleG1sLnhtbFBLBQYAAAAABgAG&#10;AFsBAAC5AwAAAAA=&#10;">
              <v:path/>
              <v:fill on="t" focussize="0,0"/>
              <v:stroke weight="2pt" color="#805514"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2018年度部门决算☞目 录</w:t>
                    </w:r>
                  </w:p>
                  <w:p>
                    <w:pPr>
                      <w:jc w:val="center"/>
                    </w:pPr>
                  </w:p>
                </w:txbxContent>
              </v:textbox>
            </v:rect>
            <w10:anchorlock/>
          </v:group>
        </w:pic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pPr>
        <w:widowControl/>
        <w:spacing w:line="580" w:lineRule="exact"/>
        <w:ind w:firstLine="640" w:firstLineChars="200"/>
        <w:rPr>
          <w:rFonts w:eastAsia="黑体"/>
          <w:sz w:val="32"/>
          <w:szCs w:val="32"/>
        </w:rPr>
      </w:pPr>
      <w:r>
        <w:rPr>
          <w:rFonts w:eastAsia="黑体"/>
          <w:sz w:val="32"/>
          <w:szCs w:val="32"/>
        </w:rPr>
        <w:t>第四部分名词解释</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br w:type="page"/>
      </w:r>
    </w:p>
    <w:p>
      <w:r>
        <w:rPr>
          <w:rFonts w:hint="eastAsia" w:ascii="宋体" w:hAnsi="宋体" w:cs="ArialUnicodeMS"/>
          <w:color w:val="000000"/>
          <w:kern w:val="0"/>
        </w:rPr>
        <w:drawing>
          <wp:anchor distT="0" distB="0" distL="114300" distR="114300" simplePos="0" relativeHeight="251661312"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7" cstate="print"/>
                    <a:stretch>
                      <a:fillRect/>
                    </a:stretch>
                  </pic:blipFill>
                  <pic:spPr>
                    <a:xfrm>
                      <a:off x="0" y="0"/>
                      <a:ext cx="7585710" cy="10727055"/>
                    </a:xfrm>
                    <a:prstGeom prst="rect">
                      <a:avLst/>
                    </a:prstGeom>
                  </pic:spPr>
                </pic:pic>
              </a:graphicData>
            </a:graphic>
          </wp:anchor>
        </w:drawing>
      </w:r>
      <w:r>
        <w:rPr>
          <w:sz w:val="72"/>
        </w:rPr>
        <w:pict>
          <v:shape id="_x0000_s1058" o:spid="_x0000_s1058" o:spt="202" type="#_x0000_t202" style="position:absolute;left:0pt;margin-left:-97.3pt;margin-top:259.1pt;height:81.7pt;width:613.65pt;z-index:251671552;mso-width-relative:page;mso-height-relative:page;" filled="f" stroked="f" coordsize="21600,21600" o:gfxdata="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KiKw6neAAAADQEAAA8AAAAAAAAAAQAgAAAAIgAAAGRycy9kb3ducmV2LnhtbFBL&#10;AQIUABQAAAAIAIdO4kB5JW2KKQIAACsEAAAOAAAAAAAAAAEAIAAAAC0BAABkcnMvZTJvRG9jLnht&#10;bFBLBQYAAAAABgAGAFkBAADIBQAAAAA=&#10;">
            <v:path/>
            <v:fill on="f" focussize="0,0"/>
            <v:stroke on="f" weight="0.5pt" joinstyle="miter"/>
            <v:imagedata o:title=""/>
            <o:lock v:ext="edit"/>
            <v:textbox>
              <w:txbxContent>
                <w:p>
                  <w:pPr>
                    <w:widowControl/>
                    <w:jc w:val="center"/>
                    <w:rPr>
                      <w:color w:val="FDEFBE"/>
                      <w:sz w:val="96"/>
                      <w:szCs w:val="96"/>
                    </w:rPr>
                  </w:pPr>
                  <w:r>
                    <w:rPr>
                      <w:rFonts w:hint="eastAsia" w:hAnsi="宋体" w:asciiTheme="minorEastAsia" w:eastAsiaTheme="minorEastAsia"/>
                      <w:color w:val="FDEFBE"/>
                      <w:sz w:val="96"/>
                      <w:szCs w:val="96"/>
                    </w:rPr>
                    <w:t>第一部分  部门概况</w:t>
                  </w:r>
                </w:p>
              </w:txbxContent>
            </v:textbox>
          </v:shape>
        </w:pict>
      </w:r>
    </w:p>
    <w:p/>
    <w:p/>
    <w:p/>
    <w:p/>
    <w:p/>
    <w:p/>
    <w:p/>
    <w:p/>
    <w:p/>
    <w:p/>
    <w:p/>
    <w:p/>
    <w:p/>
    <w:p/>
    <w:p/>
    <w:p>
      <w:pPr>
        <w:pStyle w:val="33"/>
        <w:widowControl/>
        <w:numPr>
          <w:ilvl w:val="0"/>
          <w:numId w:val="1"/>
        </w:numPr>
        <w:shd w:val="clear" w:color="auto" w:fill="FFFFFF"/>
        <w:spacing w:line="560" w:lineRule="exact"/>
        <w:ind w:firstLineChars="0"/>
        <w:jc w:val="left"/>
        <w:rPr>
          <w:rFonts w:ascii="黑体" w:eastAsia="黑体" w:cs="黑体" w:hAnsiTheme="minorHAnsi"/>
          <w:b/>
          <w:bCs/>
          <w:kern w:val="0"/>
          <w:sz w:val="32"/>
          <w:szCs w:val="32"/>
        </w:rPr>
      </w:pPr>
      <w:r>
        <w:pict>
          <v:group id="组合 90" o:spid="_x0000_s1055" o:spt="203" style="position:absolute;left:0pt;margin-left:-80.8pt;margin-top:39.5pt;height:46.7pt;width:245.25pt;mso-position-vertical-relative:page;z-index:251662336;mso-width-relative:page;mso-height-relative:page;" coordorigin="45,526" coordsize="85,13982" o:gfxdata="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">
            <o:lock v:ext="edit"/>
            <v:rect id="_x0000_s1057" o:spid="_x0000_s1057" o:spt="1" style="position:absolute;left:45;top:526;height:11;width:85;v-text-anchor:middle;" fillcolor="#B8B8B8" filled="t" stroked="f" coordsize="21600,21600" o:gfxdata="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8jiD+8AAAA&#10;2wAAAA8AAAAAAAAAAQAgAAAAIgAAAGRycy9kb3ducmV2LnhtbFBLAQIUABQAAAAIAIdO4kAzLwWe&#10;OwAAADkAAAAQAAAAAAAAAAEAIAAAAAsBAABkcnMvc2hhcGV4bWwueG1sUEsFBgAAAAAGAAYAWwEA&#10;ALUDAAAAAA==&#10;">
              <v:path/>
              <v:fill on="t" focussize="0,0"/>
              <v:stroke on="f" weight="2pt"/>
              <v:imagedata o:title=""/>
              <o:lock v:ext="edit"/>
            </v:rect>
            <v:rect id="_x0000_s1056" o:spid="_x0000_s1056" o:spt="1" style="position:absolute;left:45;top:528;height:12;width:84;v-text-anchor:middle;" fillcolor="#AD002D" filled="t" stroked="t" coordsize="21600,21600" o:gfxdata="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vr/rwugAAANsA&#10;AAAPAAAAAAAAAAEAIAAAACIAAABkcnMvZG93bnJldi54bWxQSwECFAAUAAAACACHTuJAMy8FnjsA&#10;AAA5AAAAEAAAAAAAAAABACAAAAAJAQAAZHJzL3NoYXBleG1sLnhtbFBLBQYAAAAABgAGAFsBAACz&#10;AwAAAAA=&#10;">
              <v:path/>
              <v:fill on="t" focussize="0,0"/>
              <v:stroke weight="2pt" color="#805514"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2018年度部门决算☞部门概况</w:t>
                    </w:r>
                  </w:p>
                  <w:p>
                    <w:pPr>
                      <w:jc w:val="center"/>
                    </w:pPr>
                  </w:p>
                </w:txbxContent>
              </v:textbox>
            </v:rect>
            <w10:anchorlock/>
          </v:group>
        </w:pict>
      </w:r>
      <w:r>
        <w:rPr>
          <w:rFonts w:hint="eastAsia" w:ascii="黑体" w:eastAsia="黑体" w:cs="黑体" w:hAnsiTheme="minorHAnsi"/>
          <w:b/>
          <w:bCs/>
          <w:kern w:val="0"/>
          <w:sz w:val="32"/>
          <w:szCs w:val="32"/>
        </w:rPr>
        <w:t>部门职责</w:t>
      </w:r>
    </w:p>
    <w:p>
      <w:pPr>
        <w:pStyle w:val="33"/>
        <w:widowControl/>
        <w:shd w:val="clear" w:color="auto" w:fill="FFFFFF"/>
        <w:spacing w:line="560" w:lineRule="exact"/>
        <w:ind w:firstLine="640"/>
        <w:jc w:val="left"/>
        <w:rPr>
          <w:rFonts w:ascii="仿宋" w:hAnsi="仿宋" w:eastAsia="仿宋" w:cs="ArialUnicodeMS"/>
          <w:kern w:val="0"/>
          <w:sz w:val="32"/>
          <w:szCs w:val="32"/>
        </w:rPr>
      </w:pPr>
      <w:r>
        <w:rPr>
          <w:rFonts w:hint="eastAsia" w:ascii="仿宋" w:hAnsi="仿宋" w:eastAsia="仿宋" w:cs="ArialUnicodeMS"/>
          <w:kern w:val="0"/>
          <w:sz w:val="32"/>
          <w:szCs w:val="32"/>
        </w:rPr>
        <w:t>根据《高邑县农业职能配置、内设机构和人员编制方案》和上级有关规定，高邑县农业局的主要职责是：</w:t>
      </w:r>
    </w:p>
    <w:p>
      <w:pPr>
        <w:widowControl/>
        <w:shd w:val="clear" w:color="auto" w:fill="FFFFFF"/>
        <w:spacing w:line="560" w:lineRule="exact"/>
        <w:ind w:firstLine="645"/>
        <w:jc w:val="left"/>
        <w:rPr>
          <w:rFonts w:ascii="仿宋" w:hAnsi="仿宋" w:eastAsia="仿宋" w:cs="ArialUnicodeMS"/>
          <w:kern w:val="0"/>
          <w:sz w:val="32"/>
          <w:szCs w:val="32"/>
        </w:rPr>
      </w:pPr>
      <w:r>
        <w:rPr>
          <w:rFonts w:hint="eastAsia" w:ascii="仿宋" w:hAnsi="仿宋" w:eastAsia="仿宋" w:cs="ArialUnicodeMS"/>
          <w:kern w:val="0"/>
          <w:sz w:val="32"/>
          <w:szCs w:val="32"/>
        </w:rPr>
        <w:t>（一）、抓科技，强管理，提高粮食生产能力,深入开展粮食高产创建活动，集成推广粮食生产关键技术，启动现代农业示范区项目。</w:t>
      </w:r>
    </w:p>
    <w:p>
      <w:pPr>
        <w:spacing w:line="560" w:lineRule="exact"/>
        <w:ind w:firstLine="560"/>
        <w:rPr>
          <w:rFonts w:ascii="仿宋" w:hAnsi="仿宋" w:eastAsia="仿宋" w:cs="ArialUnicodeMS"/>
          <w:kern w:val="0"/>
          <w:sz w:val="32"/>
          <w:szCs w:val="32"/>
        </w:rPr>
      </w:pPr>
      <w:r>
        <w:rPr>
          <w:rFonts w:hint="eastAsia" w:ascii="仿宋" w:hAnsi="仿宋" w:eastAsia="仿宋" w:cs="ArialUnicodeMS"/>
          <w:kern w:val="0"/>
          <w:sz w:val="32"/>
          <w:szCs w:val="32"/>
        </w:rPr>
        <w:t>（二）、抓规划，强引导，强力推进发展现代产业园建设,完善发展规划，扩大设施规模，完善农业观光一条线，壮大现代农业园区，实施产业融合，提升园区功能，培育龙头组织。</w:t>
      </w:r>
    </w:p>
    <w:p>
      <w:pPr>
        <w:spacing w:line="560" w:lineRule="exact"/>
        <w:ind w:firstLine="560"/>
        <w:rPr>
          <w:rFonts w:ascii="仿宋" w:hAnsi="仿宋" w:eastAsia="仿宋" w:cs="ArialUnicodeMS"/>
          <w:kern w:val="0"/>
          <w:sz w:val="32"/>
          <w:szCs w:val="32"/>
        </w:rPr>
      </w:pPr>
      <w:r>
        <w:rPr>
          <w:rFonts w:hint="eastAsia" w:ascii="仿宋" w:hAnsi="仿宋" w:eastAsia="仿宋" w:cs="ArialUnicodeMS"/>
          <w:kern w:val="0"/>
          <w:sz w:val="32"/>
          <w:szCs w:val="32"/>
        </w:rPr>
        <w:t>（三）、抓养殖，强标准，加快现代畜牧业发展,完成重大动物疫病防控，加快标准化养殖场建设，加强畜产品检测。</w:t>
      </w:r>
    </w:p>
    <w:p>
      <w:pPr>
        <w:spacing w:line="560" w:lineRule="exact"/>
        <w:ind w:firstLine="560"/>
        <w:rPr>
          <w:rFonts w:ascii="仿宋" w:hAnsi="仿宋" w:eastAsia="仿宋" w:cs="ArialUnicodeMS"/>
          <w:kern w:val="0"/>
          <w:sz w:val="32"/>
          <w:szCs w:val="32"/>
        </w:rPr>
      </w:pPr>
      <w:r>
        <w:rPr>
          <w:rFonts w:hint="eastAsia" w:ascii="仿宋" w:hAnsi="仿宋" w:eastAsia="仿宋" w:cs="ArialUnicodeMS"/>
          <w:kern w:val="0"/>
          <w:sz w:val="32"/>
          <w:szCs w:val="32"/>
        </w:rPr>
        <w:t>（四）、抓农业改革，惠农户，开创农村新局面,加快农村土地确权工作，继续引导土地经营权有序流转。培育壮大新型经营主体。</w:t>
      </w:r>
    </w:p>
    <w:p>
      <w:pPr>
        <w:spacing w:line="560" w:lineRule="exact"/>
        <w:ind w:firstLine="560"/>
        <w:rPr>
          <w:rFonts w:ascii="仿宋" w:hAnsi="仿宋" w:eastAsia="仿宋" w:cs="ArialUnicodeMS"/>
          <w:kern w:val="0"/>
          <w:sz w:val="32"/>
          <w:szCs w:val="32"/>
        </w:rPr>
      </w:pPr>
      <w:r>
        <w:rPr>
          <w:rFonts w:hint="eastAsia" w:ascii="仿宋" w:hAnsi="仿宋" w:eastAsia="仿宋" w:cs="ArialUnicodeMS"/>
          <w:kern w:val="0"/>
          <w:sz w:val="32"/>
          <w:szCs w:val="32"/>
        </w:rPr>
        <w:t>（五）、抓清洁能源，改环境，推进美丽乡村建设,推广炊事节能采暖炉，启动生物质生产企业1—2家。</w:t>
      </w:r>
    </w:p>
    <w:p>
      <w:pPr>
        <w:spacing w:line="560" w:lineRule="exact"/>
        <w:ind w:firstLine="560"/>
        <w:rPr>
          <w:rFonts w:ascii="仿宋" w:hAnsi="仿宋" w:eastAsia="仿宋" w:cs="ArialUnicodeMS"/>
          <w:kern w:val="0"/>
          <w:sz w:val="32"/>
          <w:szCs w:val="32"/>
        </w:rPr>
      </w:pPr>
      <w:r>
        <w:rPr>
          <w:rFonts w:hint="eastAsia" w:ascii="仿宋" w:hAnsi="仿宋" w:eastAsia="仿宋" w:cs="ArialUnicodeMS"/>
          <w:kern w:val="0"/>
          <w:sz w:val="32"/>
          <w:szCs w:val="32"/>
        </w:rPr>
        <w:t>（六）、抓源头，强管理，确保农产品质量安全，深入开展农产品质量专项整治，大力推进标准化生产，加强农产品安全质量检测。</w:t>
      </w:r>
    </w:p>
    <w:p>
      <w:pPr>
        <w:pStyle w:val="2"/>
        <w:spacing w:before="0" w:after="0" w:line="600" w:lineRule="exact"/>
        <w:jc w:val="left"/>
        <w:rPr>
          <w:rFonts w:ascii="黑体" w:eastAsia="黑体" w:cs="黑体" w:hAnsiTheme="minorHAnsi"/>
          <w:b w:val="0"/>
          <w:bCs w:val="0"/>
          <w:kern w:val="0"/>
          <w:sz w:val="32"/>
          <w:szCs w:val="32"/>
        </w:rPr>
      </w:pPr>
    </w:p>
    <w:p>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二、机构设置</w:t>
      </w:r>
    </w:p>
    <w:p>
      <w:pPr>
        <w:spacing w:after="0" w:line="560" w:lineRule="exact"/>
        <w:ind w:firstLine="640" w:firstLineChars="200"/>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从决算编报单位构成看，纳入2018 年度本部门决算汇编范围的独立核算单位（以下简称“单位”）共1 个，具体情况如下：</w:t>
      </w:r>
    </w:p>
    <w:tbl>
      <w:tblPr>
        <w:tblStyle w:val="14"/>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序号</w:t>
            </w:r>
          </w:p>
        </w:tc>
        <w:tc>
          <w:tcPr>
            <w:tcW w:w="34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单位名称</w:t>
            </w:r>
          </w:p>
        </w:tc>
        <w:tc>
          <w:tcPr>
            <w:tcW w:w="244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单位基本性质</w:t>
            </w:r>
          </w:p>
        </w:tc>
        <w:tc>
          <w:tcPr>
            <w:tcW w:w="266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w:t>
            </w:r>
          </w:p>
        </w:tc>
        <w:tc>
          <w:tcPr>
            <w:tcW w:w="3485" w:type="dxa"/>
          </w:tcPr>
          <w:p>
            <w:pPr>
              <w:spacing w:after="0" w:line="560" w:lineRule="exact"/>
              <w:rPr>
                <w:rFonts w:ascii="仿宋_GB2312" w:eastAsia="仿宋_GB2312" w:cs="ArialUnicodeMS" w:hAnsiTheme="minorHAnsi"/>
                <w:kern w:val="0"/>
                <w:sz w:val="28"/>
                <w:szCs w:val="28"/>
              </w:rPr>
            </w:pPr>
            <w:r>
              <w:rPr>
                <w:rFonts w:hint="eastAsia" w:ascii="宋体" w:hAnsi="宋体" w:cs="宋体"/>
                <w:kern w:val="0"/>
                <w:sz w:val="28"/>
                <w:szCs w:val="28"/>
              </w:rPr>
              <w:t>高邑县农业局</w:t>
            </w:r>
          </w:p>
        </w:tc>
        <w:tc>
          <w:tcPr>
            <w:tcW w:w="244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DengXian-Regular"/>
                <w:sz w:val="32"/>
                <w:szCs w:val="32"/>
              </w:rPr>
              <w:t>参照公务员法管理事业单位</w:t>
            </w:r>
          </w:p>
        </w:tc>
        <w:tc>
          <w:tcPr>
            <w:tcW w:w="2665" w:type="dxa"/>
          </w:tcPr>
          <w:p>
            <w:pPr>
              <w:spacing w:after="0" w:line="560" w:lineRule="exact"/>
              <w:jc w:val="center"/>
              <w:rPr>
                <w:rFonts w:ascii="仿宋_GB2312" w:eastAsia="仿宋_GB2312" w:cs="ArialUnicodeMS" w:hAnsiTheme="minorHAnsi"/>
                <w:kern w:val="0"/>
                <w:sz w:val="28"/>
                <w:szCs w:val="28"/>
              </w:rPr>
            </w:pPr>
            <w:r>
              <w:rPr>
                <w:rFonts w:hint="eastAsia" w:ascii="宋体" w:hAnsi="宋体" w:cs="宋体"/>
                <w:kern w:val="0"/>
                <w:sz w:val="28"/>
                <w:szCs w:val="28"/>
              </w:rPr>
              <w:t>财政拨款</w:t>
            </w:r>
          </w:p>
        </w:tc>
      </w:tr>
    </w:tbl>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sectPr>
          <w:pgSz w:w="11906" w:h="16838"/>
          <w:pgMar w:top="2098" w:right="1474" w:bottom="1984" w:left="1588" w:header="851" w:footer="992" w:gutter="0"/>
          <w:cols w:space="0" w:num="1"/>
          <w:docGrid w:type="lines" w:linePitch="312" w:charSpace="0"/>
        </w:sectPr>
      </w:pPr>
    </w:p>
    <w:p>
      <w:pPr>
        <w:widowControl/>
        <w:spacing w:line="560" w:lineRule="exact"/>
        <w:jc w:val="center"/>
        <w:rPr>
          <w:rFonts w:ascii="黑体" w:eastAsia="黑体" w:cs="MS-UIGothic,Bold" w:hAnsiTheme="minorHAnsi"/>
          <w:bCs/>
          <w:kern w:val="0"/>
          <w:sz w:val="52"/>
          <w:szCs w:val="52"/>
        </w:rPr>
      </w:pPr>
      <w:r>
        <w:rPr>
          <w:rFonts w:hint="eastAsia" w:ascii="宋体" w:hAnsi="宋体" w:cs="ArialUnicodeMS"/>
          <w:color w:val="000000"/>
          <w:kern w:val="0"/>
        </w:rPr>
        <w:drawing>
          <wp:anchor distT="0" distB="0" distL="114300" distR="114300" simplePos="0" relativeHeight="251664384" behindDoc="1" locked="0" layoutInCell="1" allowOverlap="1">
            <wp:simplePos x="0" y="0"/>
            <wp:positionH relativeFrom="column">
              <wp:posOffset>-1023620</wp:posOffset>
            </wp:positionH>
            <wp:positionV relativeFrom="paragraph">
              <wp:posOffset>-1327150</wp:posOffset>
            </wp:positionV>
            <wp:extent cx="7571105" cy="10680065"/>
            <wp:effectExtent l="0" t="0" r="10795" b="6985"/>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7" cstate="print"/>
                    <a:stretch>
                      <a:fillRect/>
                    </a:stretch>
                  </pic:blipFill>
                  <pic:spPr>
                    <a:xfrm>
                      <a:off x="0" y="0"/>
                      <a:ext cx="7571105" cy="10680065"/>
                    </a:xfrm>
                    <a:prstGeom prst="rect">
                      <a:avLst/>
                    </a:prstGeom>
                  </pic:spPr>
                </pic:pic>
              </a:graphicData>
            </a:graphic>
          </wp:anchor>
        </w:drawing>
      </w:r>
    </w:p>
    <w:p>
      <w:pPr>
        <w:widowControl/>
        <w:spacing w:line="560" w:lineRule="exact"/>
        <w:jc w:val="center"/>
        <w:rPr>
          <w:rFonts w:ascii="黑体" w:eastAsia="黑体" w:cs="MS-UIGothic,Bold" w:hAnsiTheme="minorHAnsi"/>
          <w:bCs/>
          <w:kern w:val="0"/>
          <w:sz w:val="52"/>
          <w:szCs w:val="52"/>
        </w:rPr>
      </w:pPr>
    </w:p>
    <w:p>
      <w:pPr>
        <w:rPr>
          <w:rFonts w:ascii="宋体" w:hAnsi="宋体" w:cs="ArialUnicodeMS"/>
          <w:color w:val="000000"/>
          <w:kern w:val="0"/>
        </w:r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sz w:val="72"/>
        </w:rPr>
        <w:pict>
          <v:shape id="_x0000_s1054" o:spid="_x0000_s1054" o:spt="202" type="#_x0000_t202" style="position:absolute;left:0pt;margin-left:-74.2pt;margin-top:120.3pt;height:159.1pt;width:596.2pt;z-index:251663360;mso-width-relative:page;mso-height-relative:page;" filled="f" stroked="f" coordsize="21600,21600" o:gfxdata="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Tms90NwAAAANAQAADwAAAAAAAAABACAAAAAiAAAAZHJzL2Rvd25yZXYueG1sUEsBAhQA&#10;FAAAAAgAh07iQHnGxqwnAgAAKQQAAA4AAAAAAAAAAQAgAAAAKwEAAGRycy9lMm9Eb2MueG1sUEsF&#10;BgAAAAAGAAYAWQEAAMQFA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第二部分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2018年度部门决算报表</w:t>
                  </w:r>
                </w:p>
              </w:txbxContent>
            </v:textbox>
          </v:shape>
        </w:pict>
      </w:r>
    </w:p>
    <w:tbl>
      <w:tblPr>
        <w:tblStyle w:val="13"/>
        <w:tblW w:w="9300" w:type="dxa"/>
        <w:jc w:val="center"/>
        <w:tblLayout w:type="fixed"/>
        <w:tblCellMar>
          <w:top w:w="0" w:type="dxa"/>
          <w:left w:w="0" w:type="dxa"/>
          <w:bottom w:w="0" w:type="dxa"/>
          <w:right w:w="0" w:type="dxa"/>
        </w:tblCellMar>
      </w:tblPr>
      <w:tblGrid>
        <w:gridCol w:w="9300"/>
      </w:tblGrid>
      <w:tr>
        <w:tblPrEx>
          <w:tblCellMar>
            <w:top w:w="0" w:type="dxa"/>
            <w:left w:w="0" w:type="dxa"/>
            <w:bottom w:w="0" w:type="dxa"/>
            <w:right w:w="0" w:type="dxa"/>
          </w:tblCellMar>
        </w:tblPrEx>
        <w:trPr>
          <w:trHeight w:val="567" w:hRule="atLeast"/>
          <w:jc w:val="center"/>
        </w:trPr>
        <w:tc>
          <w:tcPr>
            <w:tcW w:w="9300" w:type="dxa"/>
            <w:tcBorders>
              <w:top w:val="nil"/>
              <w:left w:val="nil"/>
              <w:bottom w:val="nil"/>
              <w:right w:val="nil"/>
            </w:tcBorders>
            <w:shd w:val="clear" w:color="auto" w:fill="auto"/>
            <w:tcMar>
              <w:top w:w="15" w:type="dxa"/>
              <w:left w:w="15" w:type="dxa"/>
              <w:right w:w="15" w:type="dxa"/>
            </w:tcMar>
            <w:vAlign w:val="center"/>
          </w:tcPr>
          <w:p>
            <w:pPr>
              <w:widowControl/>
              <w:spacing w:after="0" w:line="440" w:lineRule="exact"/>
              <w:textAlignment w:val="center"/>
              <w:rPr>
                <w:rFonts w:ascii="黑体" w:hAnsi="宋体" w:eastAsia="黑体" w:cs="黑体"/>
                <w:color w:val="000000"/>
                <w:sz w:val="40"/>
                <w:szCs w:val="40"/>
              </w:rPr>
            </w:pPr>
            <w:r>
              <w:rPr>
                <w:sz w:val="44"/>
              </w:rPr>
              <w:pict>
                <v:group id="组合 10" o:spid="_x0000_s1051" o:spt="203" style="position:absolute;left:0pt;margin-left:-70.25pt;margin-top:-81.85pt;height:41.2pt;width:243.2pt;mso-position-vertical-relative:page;z-index:251675648;mso-width-relative:page;mso-height-relative:page;" coordorigin="45,526" coordsize="85,13982" o:gfxdata="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">
                  <o:lock v:ext="edit"/>
                  <v:rect id="矩形 13" o:spid="_x0000_s1053" o:spt="1" style="position:absolute;left:45;top:526;height:11;width:85;v-text-anchor:middle;" fillcolor="#B8B8B8" filled="t" stroked="f" coordsize="21600,21600" o:gfxdata="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BGHGk6/&#10;AAAA2wAAAA8AAAAAAAAAAQAgAAAAIgAAAGRycy9kb3ducmV2LnhtbFBLAQIUABQAAAAIAIdO4kAz&#10;LwWeOwAAADkAAAAQAAAAAAAAAAEAIAAAAA4BAABkcnMvc2hhcGV4bWwueG1sUEsFBgAAAAAGAAYA&#10;WwEAALgDAAAAAA==&#10;">
                    <v:path/>
                    <v:fill on="t" focussize="0,0"/>
                    <v:stroke on="f" weight="2pt"/>
                    <v:imagedata o:title=""/>
                    <o:lock v:ext="edit"/>
                  </v:rect>
                  <v:rect id="矩形 14" o:spid="_x0000_s1052" o:spt="1" style="position:absolute;left:45;top:528;height:12;width:84;v-text-anchor:middle;" fillcolor="#AD002D" filled="t" stroked="t" coordsize="21600,21600" o:gfxdata="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5dC6G/&#10;AAAA2wAAAA8AAAAAAAAAAQAgAAAAIgAAAGRycy9kb3ducmV2LnhtbFBLAQIUABQAAAAIAIdO4kAz&#10;LwWeOwAAADkAAAAQAAAAAAAAAAEAIAAAAA4BAABkcnMvc2hhcGV4bWwueG1sUEsFBgAAAAAGAAYA&#10;WwEAALgDAAAAAA==&#10;">
                    <v:path/>
                    <v:fill on="t" focussize="0,0"/>
                    <v:stroke weight="2pt" color="#805514"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widowControl/>
                            <w:jc w:val="left"/>
                            <w:rPr>
                              <w:rFonts w:ascii="楷体" w:hAnsi="楷体" w:eastAsia="楷体" w:cs="楷体"/>
                              <w:b/>
                              <w:bCs/>
                              <w:color w:val="FDEFBE"/>
                              <w:sz w:val="36"/>
                              <w:szCs w:val="36"/>
                            </w:rPr>
                          </w:pPr>
                          <w:r>
                            <w:rPr>
                              <w:rFonts w:hint="eastAsia" w:ascii="楷体" w:hAnsi="楷体" w:eastAsia="楷体" w:cs="楷体"/>
                              <w:b/>
                              <w:bCs/>
                              <w:color w:val="FDEFBE"/>
                              <w:kern w:val="0"/>
                              <w:sz w:val="36"/>
                              <w:szCs w:val="36"/>
                            </w:rPr>
                            <w:t>2018年度部门决算☞目 录</w:t>
                          </w:r>
                        </w:p>
                        <w:p>
                          <w:pPr>
                            <w:jc w:val="center"/>
                          </w:pPr>
                        </w:p>
                      </w:txbxContent>
                    </v:textbox>
                  </v:rect>
                  <w10:anchorlock/>
                </v:group>
              </w:pict>
            </w:r>
          </w:p>
        </w:tc>
      </w:tr>
    </w:tbl>
    <w:p/>
    <w:p>
      <w:pPr>
        <w:pStyle w:val="2"/>
        <w:spacing w:line="560" w:lineRule="exact"/>
        <w:jc w:val="center"/>
        <w:rPr>
          <w:rFonts w:ascii="宋体" w:hAnsi="宋体" w:cs="ArialUnicodeMS"/>
          <w:color w:val="000000"/>
          <w:kern w:val="0"/>
        </w:rPr>
      </w:pPr>
      <w:r>
        <w:rPr>
          <w:rFonts w:hint="eastAsia" w:ascii="宋体" w:hAnsi="宋体" w:cs="ArialUnicodeMS"/>
          <w:color w:val="000000"/>
          <w:kern w:val="0"/>
        </w:rPr>
        <w:t>第二部分 2018年度部门决算报表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pPr>
        <w:tabs>
          <w:tab w:val="left" w:pos="1086"/>
        </w:tabs>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6432"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7" cstate="print"/>
                    <a:stretch>
                      <a:fillRect/>
                    </a:stretch>
                  </pic:blipFill>
                  <pic:spPr>
                    <a:xfrm>
                      <a:off x="0" y="0"/>
                      <a:ext cx="7550150" cy="10680065"/>
                    </a:xfrm>
                    <a:prstGeom prst="rect">
                      <a:avLst/>
                    </a:prstGeom>
                  </pic:spPr>
                </pic:pic>
              </a:graphicData>
            </a:graphic>
          </wp:anchor>
        </w:drawing>
      </w:r>
      <w:r>
        <w:rPr>
          <w:sz w:val="72"/>
        </w:rPr>
        <w:pict>
          <v:shape id="文本框 5" o:spid="_x0000_s1050" o:spt="202" type="#_x0000_t202" style="position:absolute;left:0pt;margin-left:-78.7pt;margin-top:232.8pt;height:159.1pt;width:596.2pt;z-index:251665408;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部门决算情况说明</w:t>
                  </w:r>
                </w:p>
              </w:txbxContent>
            </v:textbox>
          </v:shape>
        </w:pict>
      </w:r>
    </w:p>
    <w:p>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eastAsia="黑体" w:cs="黑体" w:hAnsiTheme="minorHAnsi"/>
          <w:b w:val="0"/>
          <w:bCs w:val="0"/>
          <w:kern w:val="0"/>
        </w:rPr>
        <w:t>支</w:t>
      </w:r>
      <w:r>
        <w:rPr>
          <w:sz w:val="44"/>
        </w:rPr>
        <w:pict>
          <v:group id="组合 18" o:spid="_x0000_s1047" o:spt="203" style="position:absolute;left:0pt;margin-left:-0.55pt;margin-top:29.3pt;height:58.35pt;width:320.5pt;mso-position-horizontal-relative:page;mso-position-vertical-relative:page;z-index:251681792;mso-width-relative:page;mso-height-relative:page;" coordorigin="45,526" coordsize="85,11752" o:gfxdata="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">
            <o:lock v:ext="edit"/>
            <v:rect id="矩形 13" o:spid="_x0000_s1049" o:spt="1" style="position:absolute;left:45;top:526;height:11;width:85;v-text-anchor:middle;" fillcolor="#B8B8B8" filled="t" stroked="f" coordsize="21600,21600" o:gfxdata="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IZ3c9bsAAADb&#10;AAAADwAAAAAAAAABACAAAAAiAAAAZHJzL2Rvd25yZXYueG1sUEsBAhQAFAAAAAgAh07iQDMvBZ47&#10;AAAAOQAAABAAAAAAAAAAAQAgAAAACgEAAGRycy9zaGFwZXhtbC54bWxQSwUGAAAAAAYABgBbAQAA&#10;tAMAAAAA&#10;">
              <v:path/>
              <v:fill on="t" focussize="0,0"/>
              <v:stroke on="f" weight="2pt"/>
              <v:imagedata o:title=""/>
              <o:lock v:ext="edit"/>
            </v:rect>
            <v:rect id="矩形 14" o:spid="_x0000_s1048" o:spt="1" style="position:absolute;left:45;top:528;height:7;width:82;v-text-anchor:middle;" fillcolor="#AD002D" filled="t" stroked="t" coordsize="21600,21600" o:gfxdata="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LiqoOb4A&#10;AADbAAAADwAAAAAAAAABACAAAAAiAAAAZHJzL2Rvd25yZXYueG1sUEsBAhQAFAAAAAgAh07iQDMv&#10;BZ47AAAAOQAAABAAAAAAAAAAAQAgAAAADQEAAGRycy9zaGFwZXhtbC54bWxQSwUGAAAAAAYABgBb&#10;AQAAtwMAAAAA&#10;">
              <v:path/>
              <v:fill on="t" focussize="0,0"/>
              <v:stroke weight="2pt" color="#805514"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黑体" w:eastAsia="黑体" w:cs="黑体" w:hAnsiTheme="minorHAnsi"/>
          <w:b w:val="0"/>
          <w:bCs w:val="0"/>
          <w:kern w:val="0"/>
        </w:rPr>
        <w:t>出</w:t>
      </w:r>
      <w:r>
        <w:rPr>
          <w:rFonts w:hint="eastAsia" w:ascii="黑体" w:eastAsia="黑体"/>
          <w:b w:val="0"/>
          <w:bCs w:val="0"/>
        </w:rPr>
        <w:t>决算总体情况说明</w:t>
      </w:r>
    </w:p>
    <w:p>
      <w:pPr>
        <w:adjustRightInd w:val="0"/>
        <w:snapToGrid w:val="0"/>
        <w:spacing w:before="156" w:beforeLines="50" w:after="0" w:line="360" w:lineRule="auto"/>
        <w:ind w:firstLine="640" w:firstLineChars="200"/>
        <w:rPr>
          <w:rFonts w:ascii="仿宋_GB2312" w:eastAsia="仿宋_GB2312" w:cs="DengXian-Regular"/>
          <w:sz w:val="32"/>
          <w:szCs w:val="32"/>
        </w:rPr>
      </w:pPr>
      <w:r>
        <w:rPr>
          <w:rFonts w:hint="eastAsia" w:ascii="仿宋" w:hAnsi="仿宋" w:eastAsia="仿宋" w:cs="仿宋"/>
          <w:color w:val="auto"/>
          <w:sz w:val="32"/>
          <w:szCs w:val="32"/>
        </w:rPr>
        <w:t>本部门2018年度收支总计（含结转和结余）</w:t>
      </w:r>
      <w:r>
        <w:rPr>
          <w:rFonts w:hint="eastAsia" w:ascii="仿宋" w:hAnsi="仿宋" w:eastAsia="仿宋" w:cs="仿宋"/>
          <w:color w:val="auto"/>
          <w:sz w:val="32"/>
          <w:szCs w:val="32"/>
          <w:lang w:val="en-US" w:eastAsia="zh-CN"/>
        </w:rPr>
        <w:t>6292.13</w:t>
      </w:r>
      <w:r>
        <w:rPr>
          <w:rFonts w:hint="eastAsia" w:ascii="仿宋" w:hAnsi="仿宋" w:eastAsia="仿宋" w:cs="仿宋"/>
          <w:color w:val="auto"/>
          <w:sz w:val="32"/>
          <w:szCs w:val="32"/>
        </w:rPr>
        <w:t>万元。</w:t>
      </w:r>
      <w:r>
        <w:rPr>
          <w:rFonts w:hint="eastAsia" w:ascii="仿宋" w:hAnsi="仿宋" w:eastAsia="仿宋" w:cs="仿宋"/>
          <w:sz w:val="32"/>
          <w:szCs w:val="32"/>
        </w:rPr>
        <w:t>与2017年度决算相比，本年收入增加124.81万元，增长2.87%，主要是人员工资和项目增加；本年支出增加846.60万元，增长20.51%，主要是项目资金支出增多。</w:t>
      </w:r>
    </w:p>
    <w:p>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pPr>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本部门2018年度本年收入合计4474.08万元，其中：财政拨款收入4474.08万元，占100%。</w:t>
      </w:r>
    </w:p>
    <w:p>
      <w:pPr>
        <w:adjustRightInd w:val="0"/>
        <w:snapToGrid w:val="0"/>
        <w:spacing w:after="0" w:line="580" w:lineRule="exact"/>
        <w:ind w:firstLine="640" w:firstLineChars="200"/>
        <w:rPr>
          <w:rFonts w:ascii="仿宋" w:hAnsi="仿宋" w:eastAsia="仿宋" w:cs="仿宋"/>
          <w:sz w:val="32"/>
          <w:szCs w:val="32"/>
        </w:rPr>
      </w:pPr>
      <w:r>
        <w:rPr>
          <w:rFonts w:hint="eastAsia" w:ascii="仿宋" w:hAnsi="仿宋" w:eastAsia="仿宋" w:cs="仿宋"/>
          <w:sz w:val="32"/>
          <w:szCs w:val="32"/>
        </w:rPr>
        <w:t>如图所示：</w:t>
      </w:r>
    </w:p>
    <w:p/>
    <w:p>
      <w:pPr>
        <w:ind w:left="2240" w:hanging="2240" w:hangingChars="700"/>
        <w:rPr>
          <w:rFonts w:ascii="仿宋_GB2312" w:eastAsia="仿宋_GB2312" w:cs="DengXian-Regular"/>
          <w:sz w:val="32"/>
          <w:szCs w:val="32"/>
        </w:rPr>
      </w:pPr>
      <w:r>
        <w:rPr>
          <w:rFonts w:ascii="仿宋_GB2312" w:eastAsia="仿宋_GB2312" w:cs="DengXian-Regular"/>
          <w:sz w:val="32"/>
          <w:szCs w:val="32"/>
        </w:rPr>
        <w:drawing>
          <wp:inline distT="0" distB="0" distL="0" distR="0">
            <wp:extent cx="5887720" cy="2720975"/>
            <wp:effectExtent l="19050" t="0" r="17417" b="2722"/>
            <wp:docPr id="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r>
        <w:rPr>
          <w:rFonts w:hint="eastAsia" w:ascii="仿宋_GB2312" w:eastAsia="仿宋_GB2312" w:cs="DengXian-Regular"/>
          <w:sz w:val="32"/>
          <w:szCs w:val="32"/>
        </w:rPr>
        <w:t>图1</w:t>
      </w:r>
      <w:r>
        <w:rPr>
          <w:rFonts w:hint="eastAsia" w:ascii="仿宋_GB2312" w:cs="DengXian-Regular" w:eastAsiaTheme="minorEastAsia"/>
          <w:sz w:val="32"/>
          <w:szCs w:val="32"/>
        </w:rPr>
        <w:t>：</w:t>
      </w:r>
      <w:r>
        <w:rPr>
          <w:rFonts w:hint="eastAsia" w:ascii="仿宋_GB2312" w:eastAsia="仿宋_GB2312" w:cs="DengXian-Regular"/>
          <w:sz w:val="32"/>
          <w:szCs w:val="32"/>
        </w:rPr>
        <w:t>收入构成情况</w:t>
      </w:r>
    </w:p>
    <w:p>
      <w:pPr>
        <w:pStyle w:val="3"/>
        <w:spacing w:before="0" w:after="0" w:line="580" w:lineRule="exact"/>
        <w:ind w:firstLine="640" w:firstLineChars="200"/>
        <w:rPr>
          <w:rFonts w:ascii="黑体" w:eastAsia="黑体"/>
          <w:b w:val="0"/>
          <w:bCs w:val="0"/>
        </w:rPr>
      </w:pPr>
      <w:r>
        <w:rPr>
          <w:rFonts w:hint="eastAsia" w:ascii="黑体" w:eastAsia="黑体"/>
          <w:b w:val="0"/>
          <w:bCs w:val="0"/>
        </w:rPr>
        <w:t>三、支出决算情况说明</w:t>
      </w:r>
    </w:p>
    <w:p>
      <w:pPr>
        <w:adjustRightInd w:val="0"/>
        <w:snapToGrid w:val="0"/>
        <w:spacing w:line="560" w:lineRule="exact"/>
        <w:ind w:firstLine="640" w:firstLineChars="200"/>
        <w:rPr>
          <w:rFonts w:ascii="仿宋" w:hAnsi="仿宋" w:eastAsia="仿宋" w:cs="仿宋"/>
          <w:sz w:val="24"/>
        </w:rPr>
      </w:pPr>
      <w:r>
        <w:rPr>
          <w:rFonts w:hint="eastAsia" w:ascii="仿宋" w:hAnsi="仿宋" w:eastAsia="仿宋" w:cs="仿宋"/>
          <w:sz w:val="32"/>
          <w:szCs w:val="32"/>
        </w:rPr>
        <w:t>本部门2018年度本年支出合计4973.80万元，其中：基本支出602.81万元，占12.12%；项目支出4370.98万元，占87.88%。  如图所示：</w:t>
      </w:r>
      <w:r>
        <w:rPr>
          <w:rFonts w:asciiTheme="majorHAnsi" w:eastAsiaTheme="majorEastAsia"/>
          <w:b/>
          <w:bCs/>
        </w:rPr>
        <w:pict>
          <v:shape id="_x0000_s1046" o:spid="_x0000_s1046" o:spt="202" type="#_x0000_t202" style="position:absolute;left:0pt;margin-left:74.9pt;margin-top:21.1pt;height:42.2pt;width:248.75pt;z-index:-251646976;mso-width-relative:page;mso-height-relative:page;" stroked="f" coordsize="21600,21600" o:gfxdata="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Oi0UgDUAAAACgEAAA8AAAAAAAAAAQAgAAAA&#10;IgAAAGRycy9kb3ducmV2LnhtbFBLAQIUABQAAAAIAIdO4kBhoB1YSAIAAF0EAAAOAAAAAAAAAAEA&#10;IAAAACMBAABkcnMvZTJvRG9jLnhtbFBLBQYAAAAABgAGAFkBAADdBQAAAAA=&#10;">
            <v:path/>
            <v:fill focussize="0,0"/>
            <v:stroke on="f" weight="0.5pt" joinstyle="miter"/>
            <v:imagedata o:title=""/>
            <o:lock v:ext="edit"/>
            <v:textbox>
              <w:txbxContent>
                <w:p>
                  <w:pPr>
                    <w:adjustRightInd w:val="0"/>
                    <w:snapToGrid w:val="0"/>
                    <w:spacing w:line="560" w:lineRule="exact"/>
                    <w:rPr>
                      <w:rFonts w:ascii="仿宋_GB2312" w:eastAsia="仿宋_GB2312" w:cs="DengXian-Regular"/>
                      <w:sz w:val="28"/>
                      <w:szCs w:val="28"/>
                    </w:rPr>
                  </w:pPr>
                </w:p>
                <w:p>
                  <w:pPr>
                    <w:rPr>
                      <w:sz w:val="20"/>
                      <w:szCs w:val="22"/>
                    </w:rPr>
                  </w:pPr>
                </w:p>
              </w:txbxContent>
            </v:textbox>
          </v:shape>
        </w:pict>
      </w:r>
    </w:p>
    <w:p>
      <w:pPr>
        <w:pStyle w:val="3"/>
        <w:spacing w:before="0" w:after="0" w:line="580" w:lineRule="exact"/>
        <w:ind w:firstLine="640" w:firstLineChars="200"/>
        <w:rPr>
          <w:rFonts w:ascii="黑体" w:eastAsia="黑体"/>
          <w:b w:val="0"/>
          <w:bCs w:val="0"/>
        </w:rPr>
      </w:pPr>
    </w:p>
    <w:p>
      <w:r>
        <w:drawing>
          <wp:inline distT="0" distB="0" distL="0" distR="0">
            <wp:extent cx="4561205" cy="2087245"/>
            <wp:effectExtent l="19050" t="0" r="10424" b="7908"/>
            <wp:docPr id="9" name="图表 8"/>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pPr>
        <w:ind w:firstLine="1820" w:firstLineChars="650"/>
        <w:rPr>
          <w:rFonts w:ascii="仿宋" w:hAnsi="仿宋" w:eastAsia="仿宋"/>
        </w:rPr>
      </w:pPr>
      <w:r>
        <w:rPr>
          <w:rFonts w:hint="eastAsia" w:ascii="仿宋" w:hAnsi="仿宋" w:eastAsia="仿宋" w:cs="DengXian-Regular"/>
          <w:sz w:val="28"/>
          <w:szCs w:val="28"/>
        </w:rPr>
        <w:t>图2：支出构成情况（按支出性</w:t>
      </w:r>
      <w:r>
        <w:rPr>
          <w:rFonts w:hint="eastAsia" w:ascii="仿宋" w:hAnsi="仿宋" w:eastAsia="仿宋" w:cs="宋体"/>
          <w:sz w:val="28"/>
          <w:szCs w:val="28"/>
        </w:rPr>
        <w:t>质</w:t>
      </w:r>
      <w:r>
        <w:rPr>
          <w:rFonts w:hint="eastAsia" w:ascii="仿宋" w:hAnsi="仿宋" w:eastAsia="仿宋" w:cs="DengXian-Regular"/>
          <w:sz w:val="28"/>
          <w:szCs w:val="28"/>
        </w:rPr>
        <w:t>）</w:t>
      </w:r>
    </w:p>
    <w:p/>
    <w:p>
      <w:pPr>
        <w:pStyle w:val="3"/>
        <w:spacing w:before="0" w:after="0" w:line="580" w:lineRule="exact"/>
        <w:ind w:firstLine="640" w:firstLineChars="200"/>
        <w:rPr>
          <w:rFonts w:ascii="黑体" w:eastAsia="黑体"/>
          <w:b w:val="0"/>
          <w:bCs w:val="0"/>
        </w:rPr>
      </w:pPr>
      <w:r>
        <w:rPr>
          <w:rFonts w:hint="eastAsia" w:ascii="黑体" w:eastAsia="黑体"/>
          <w:b w:val="0"/>
          <w:bCs w:val="0"/>
        </w:rPr>
        <w:t>四、</w:t>
      </w:r>
      <w:r>
        <w:rPr>
          <w:rFonts w:hint="eastAsia" w:ascii="黑体" w:eastAsia="黑体" w:cs="黑体" w:hAnsiTheme="minorHAnsi"/>
          <w:b w:val="0"/>
          <w:bCs w:val="0"/>
          <w:kern w:val="0"/>
        </w:rPr>
        <w:t>财政</w:t>
      </w:r>
      <w:r>
        <w:rPr>
          <w:rFonts w:hint="eastAsia" w:ascii="黑体" w:eastAsia="黑体"/>
          <w:b w:val="0"/>
          <w:bCs w:val="0"/>
        </w:rPr>
        <w:t>拨款收入支出决算情况说明</w:t>
      </w:r>
    </w:p>
    <w:p>
      <w:pPr>
        <w:spacing w:after="0" w:line="580" w:lineRule="exact"/>
        <w:ind w:firstLine="643" w:firstLineChars="200"/>
        <w:rPr>
          <w:rFonts w:ascii="仿宋" w:hAnsi="仿宋" w:eastAsia="仿宋" w:cs="仿宋"/>
          <w:b/>
          <w:bCs/>
          <w:sz w:val="32"/>
          <w:szCs w:val="32"/>
        </w:rPr>
      </w:pPr>
      <w:r>
        <w:rPr>
          <w:rFonts w:hint="eastAsia" w:ascii="仿宋" w:hAnsi="仿宋" w:eastAsia="仿宋" w:cs="仿宋"/>
          <w:b/>
          <w:bCs/>
          <w:sz w:val="32"/>
          <w:szCs w:val="32"/>
        </w:rPr>
        <w:t>（一）财政拨款收支与2017 年度决算对比情况</w:t>
      </w:r>
    </w:p>
    <w:p>
      <w:pPr>
        <w:adjustRightInd w:val="0"/>
        <w:snapToGrid w:val="0"/>
        <w:spacing w:before="156" w:beforeLines="50" w:after="0" w:line="360" w:lineRule="auto"/>
        <w:ind w:firstLine="640" w:firstLineChars="200"/>
        <w:rPr>
          <w:rFonts w:ascii="仿宋" w:hAnsi="仿宋" w:eastAsia="仿宋" w:cs="仿宋"/>
          <w:sz w:val="32"/>
          <w:szCs w:val="32"/>
        </w:rPr>
      </w:pPr>
      <w:r>
        <w:rPr>
          <w:rFonts w:hint="eastAsia" w:ascii="仿宋" w:hAnsi="仿宋" w:eastAsia="仿宋" w:cs="仿宋"/>
          <w:color w:val="auto"/>
          <w:sz w:val="32"/>
          <w:szCs w:val="32"/>
        </w:rPr>
        <w:t>本部门2018年度形成的财政拨款收支均为一般公共预算财政拨款，其中一般公共预算财政拨款本年收入</w:t>
      </w:r>
      <w:r>
        <w:rPr>
          <w:rFonts w:hint="eastAsia" w:ascii="仿宋" w:hAnsi="仿宋" w:eastAsia="仿宋" w:cs="仿宋"/>
          <w:color w:val="auto"/>
          <w:sz w:val="32"/>
          <w:szCs w:val="32"/>
          <w:lang w:val="en-US" w:eastAsia="zh-CN"/>
        </w:rPr>
        <w:t>4474.08</w:t>
      </w:r>
      <w:r>
        <w:rPr>
          <w:rFonts w:hint="eastAsia" w:ascii="仿宋" w:hAnsi="仿宋" w:eastAsia="仿宋" w:cs="仿宋"/>
          <w:color w:val="auto"/>
          <w:sz w:val="32"/>
          <w:szCs w:val="32"/>
        </w:rPr>
        <w:t>万元,比与2017年度决算相比，本年收入增加124.81万元，增长2.87%，主要是人员工资和项目增加；本年支出4973.80万元</w:t>
      </w:r>
      <w:r>
        <w:rPr>
          <w:rFonts w:hint="eastAsia" w:ascii="仿宋" w:hAnsi="仿宋" w:eastAsia="仿宋" w:cs="仿宋"/>
          <w:sz w:val="32"/>
          <w:szCs w:val="32"/>
          <w:lang w:eastAsia="zh-CN"/>
        </w:rPr>
        <w:t>，</w:t>
      </w:r>
      <w:r>
        <w:rPr>
          <w:rFonts w:hint="eastAsia" w:ascii="仿宋" w:hAnsi="仿宋" w:eastAsia="仿宋" w:cs="仿宋"/>
          <w:sz w:val="32"/>
          <w:szCs w:val="32"/>
        </w:rPr>
        <w:t>增加846.6万元，增长20.51%，主要是项目资金支出增多。</w:t>
      </w:r>
    </w:p>
    <w:p>
      <w:pPr>
        <w:adjustRightInd w:val="0"/>
        <w:snapToGrid w:val="0"/>
        <w:spacing w:after="0" w:line="560" w:lineRule="exact"/>
        <w:ind w:firstLine="640" w:firstLineChars="200"/>
        <w:rPr>
          <w:rFonts w:ascii="仿宋" w:hAnsi="仿宋" w:eastAsia="仿宋" w:cs="仿宋"/>
          <w:sz w:val="32"/>
          <w:szCs w:val="32"/>
        </w:rPr>
      </w:pPr>
      <w:r>
        <w:rPr>
          <w:rFonts w:hint="eastAsia" w:ascii="仿宋" w:hAnsi="仿宋" w:eastAsia="仿宋" w:cs="仿宋"/>
          <w:sz w:val="32"/>
          <w:szCs w:val="32"/>
        </w:rPr>
        <w:t>如图所示：</w:t>
      </w:r>
    </w:p>
    <w:p>
      <w:pPr>
        <w:adjustRightInd w:val="0"/>
        <w:snapToGrid w:val="0"/>
        <w:spacing w:after="0" w:line="560" w:lineRule="exact"/>
        <w:rPr>
          <w:rFonts w:ascii="宋体" w:hAnsi="宋体" w:cs="宋体"/>
          <w:sz w:val="32"/>
          <w:szCs w:val="32"/>
        </w:rPr>
      </w:pPr>
      <w:r>
        <w:drawing>
          <wp:anchor distT="0" distB="0" distL="0" distR="0" simplePos="0" relativeHeight="251682816" behindDoc="0" locked="0" layoutInCell="1" allowOverlap="1">
            <wp:simplePos x="0" y="0"/>
            <wp:positionH relativeFrom="column">
              <wp:posOffset>299720</wp:posOffset>
            </wp:positionH>
            <wp:positionV relativeFrom="paragraph">
              <wp:posOffset>268605</wp:posOffset>
            </wp:positionV>
            <wp:extent cx="5274310" cy="3076575"/>
            <wp:effectExtent l="6350" t="6350" r="15240" b="22225"/>
            <wp:wrapTopAndBottom/>
            <wp:docPr id="3"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anchor>
        </w:drawing>
      </w:r>
    </w:p>
    <w:p>
      <w:pPr>
        <w:adjustRightInd w:val="0"/>
        <w:snapToGrid w:val="0"/>
        <w:spacing w:after="0" w:line="580" w:lineRule="exact"/>
        <w:ind w:firstLine="640" w:firstLineChars="200"/>
        <w:jc w:val="center"/>
        <w:rPr>
          <w:rFonts w:ascii="宋体" w:hAnsi="宋体" w:cs="宋体"/>
          <w:sz w:val="32"/>
          <w:szCs w:val="32"/>
        </w:rPr>
      </w:pPr>
      <w:r>
        <w:rPr>
          <w:rFonts w:hint="eastAsia" w:ascii="宋体" w:hAnsi="宋体" w:cs="宋体"/>
          <w:sz w:val="32"/>
          <w:szCs w:val="32"/>
        </w:rPr>
        <w:t>图3:2017-2018年财政拨款收支情况</w:t>
      </w:r>
    </w:p>
    <w:p>
      <w:pPr>
        <w:adjustRightInd w:val="0"/>
        <w:snapToGrid w:val="0"/>
        <w:spacing w:after="0" w:line="580" w:lineRule="exact"/>
        <w:ind w:firstLine="640" w:firstLineChars="200"/>
        <w:jc w:val="center"/>
        <w:rPr>
          <w:rFonts w:ascii="宋体" w:hAnsi="宋体" w:cs="宋体"/>
          <w:sz w:val="32"/>
          <w:szCs w:val="32"/>
        </w:rPr>
      </w:pPr>
    </w:p>
    <w:p>
      <w:pPr>
        <w:numPr>
          <w:ilvl w:val="0"/>
          <w:numId w:val="2"/>
        </w:numPr>
        <w:spacing w:after="0" w:line="580" w:lineRule="exact"/>
        <w:ind w:firstLine="643" w:firstLineChars="200"/>
        <w:rPr>
          <w:rFonts w:ascii="仿宋" w:hAnsi="仿宋" w:eastAsia="仿宋" w:cs="仿宋"/>
          <w:b/>
          <w:bCs/>
          <w:sz w:val="32"/>
          <w:szCs w:val="32"/>
        </w:rPr>
      </w:pPr>
      <w:r>
        <w:rPr>
          <w:rFonts w:hint="eastAsia" w:ascii="仿宋" w:hAnsi="仿宋" w:eastAsia="仿宋" w:cs="仿宋"/>
          <w:b/>
          <w:bCs/>
          <w:sz w:val="32"/>
          <w:szCs w:val="32"/>
        </w:rPr>
        <w:t>财政拨款收支与年初预算数对比情况</w:t>
      </w:r>
    </w:p>
    <w:p>
      <w:pPr>
        <w:adjustRightInd w:val="0"/>
        <w:snapToGrid w:val="0"/>
        <w:spacing w:before="156" w:beforeLines="50" w:after="0" w:line="360" w:lineRule="auto"/>
        <w:ind w:firstLine="640" w:firstLineChars="200"/>
        <w:rPr>
          <w:rFonts w:ascii="仿宋" w:hAnsi="仿宋" w:eastAsia="仿宋" w:cs="仿宋"/>
          <w:sz w:val="32"/>
          <w:szCs w:val="32"/>
        </w:rPr>
      </w:pPr>
      <w:r>
        <w:rPr>
          <w:rFonts w:hint="eastAsia" w:ascii="仿宋" w:hAnsi="仿宋" w:eastAsia="仿宋" w:cs="仿宋"/>
          <w:sz w:val="32"/>
          <w:szCs w:val="32"/>
        </w:rPr>
        <w:t>本部门2018年度一般公共预算财政拨款收入4474.08万元，完成年初预算的186.08%,比年初预算增加2069.65万元，决算数大于预算数主要原因是</w:t>
      </w:r>
      <w:r>
        <w:rPr>
          <w:rFonts w:hint="eastAsia" w:ascii="仿宋" w:hAnsi="仿宋" w:eastAsia="仿宋" w:cs="仿宋"/>
          <w:sz w:val="32"/>
          <w:szCs w:val="32"/>
          <w:lang w:eastAsia="zh-CN"/>
        </w:rPr>
        <w:t>项目资金增加</w:t>
      </w:r>
      <w:r>
        <w:rPr>
          <w:rFonts w:hint="eastAsia" w:ascii="仿宋" w:hAnsi="仿宋" w:eastAsia="仿宋" w:cs="仿宋"/>
          <w:sz w:val="32"/>
          <w:szCs w:val="32"/>
        </w:rPr>
        <w:t>；本年支出4973.80万元，完成年初预算的206.86%,比年初预算增加2569.37万元，决算数大于预算数主要原因是主要是项目资金支出增多。</w:t>
      </w:r>
    </w:p>
    <w:p>
      <w:pPr>
        <w:adjustRightInd w:val="0"/>
        <w:snapToGrid w:val="0"/>
        <w:spacing w:after="0" w:line="580" w:lineRule="exact"/>
        <w:ind w:firstLine="640" w:firstLineChars="200"/>
        <w:rPr>
          <w:rFonts w:ascii="仿宋_GB2312" w:eastAsia="仿宋_GB2312" w:cs="DengXian-Regular"/>
          <w:sz w:val="32"/>
          <w:szCs w:val="32"/>
        </w:rPr>
      </w:pPr>
      <w:bookmarkStart w:id="0" w:name="_GoBack"/>
      <w:bookmarkEnd w:id="0"/>
      <w:r>
        <w:rPr>
          <w:rFonts w:hint="eastAsia" w:ascii="仿宋_GB2312" w:eastAsia="仿宋_GB2312" w:cs="DengXian-Regular"/>
          <w:sz w:val="32"/>
          <w:szCs w:val="32"/>
        </w:rPr>
        <w:t>如图所示：</w:t>
      </w:r>
    </w:p>
    <w:p>
      <w:pPr>
        <w:adjustRightInd w:val="0"/>
        <w:snapToGrid w:val="0"/>
        <w:spacing w:after="0" w:line="580" w:lineRule="exact"/>
        <w:ind w:firstLine="420" w:firstLineChars="200"/>
      </w:pPr>
      <w:r>
        <w:drawing>
          <wp:anchor distT="0" distB="0" distL="0" distR="0" simplePos="0" relativeHeight="251683840" behindDoc="0" locked="0" layoutInCell="1" allowOverlap="1">
            <wp:simplePos x="0" y="0"/>
            <wp:positionH relativeFrom="column">
              <wp:posOffset>273050</wp:posOffset>
            </wp:positionH>
            <wp:positionV relativeFrom="paragraph">
              <wp:posOffset>254000</wp:posOffset>
            </wp:positionV>
            <wp:extent cx="5274310" cy="3076575"/>
            <wp:effectExtent l="6350" t="6350" r="15240" b="22225"/>
            <wp:wrapTopAndBottom/>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anchor>
        </w:drawing>
      </w:r>
    </w:p>
    <w:p>
      <w:pPr>
        <w:adjustRightInd w:val="0"/>
        <w:snapToGrid w:val="0"/>
        <w:spacing w:after="0" w:line="580" w:lineRule="exact"/>
        <w:ind w:firstLine="1920" w:firstLineChars="600"/>
        <w:rPr>
          <w:rFonts w:ascii="仿宋" w:hAnsi="仿宋" w:eastAsia="仿宋" w:cs="仿宋"/>
          <w:sz w:val="32"/>
          <w:szCs w:val="32"/>
        </w:rPr>
      </w:pPr>
      <w:r>
        <w:rPr>
          <w:rFonts w:hint="eastAsia" w:ascii="仿宋" w:hAnsi="仿宋" w:eastAsia="仿宋" w:cs="仿宋"/>
          <w:sz w:val="32"/>
          <w:szCs w:val="32"/>
        </w:rPr>
        <w:t>图4：财政拨款收支预决算对比情况</w:t>
      </w:r>
    </w:p>
    <w:p>
      <w:pPr>
        <w:adjustRightInd w:val="0"/>
        <w:snapToGrid w:val="0"/>
        <w:spacing w:after="0" w:line="580" w:lineRule="exact"/>
        <w:ind w:firstLine="640" w:firstLineChars="200"/>
        <w:rPr>
          <w:rFonts w:ascii="仿宋" w:hAnsi="仿宋" w:eastAsia="仿宋" w:cs="仿宋"/>
          <w:sz w:val="32"/>
          <w:szCs w:val="32"/>
        </w:rPr>
      </w:pPr>
    </w:p>
    <w:p>
      <w:pPr>
        <w:numPr>
          <w:ilvl w:val="0"/>
          <w:numId w:val="2"/>
        </w:numPr>
        <w:spacing w:after="0"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财政拨款支出决算结构情况</w:t>
      </w:r>
    </w:p>
    <w:p>
      <w:pPr>
        <w:adjustRightInd w:val="0"/>
        <w:snapToGrid w:val="0"/>
        <w:spacing w:after="0" w:line="580" w:lineRule="exact"/>
        <w:ind w:firstLine="640" w:firstLineChars="200"/>
        <w:rPr>
          <w:rFonts w:ascii="仿宋" w:hAnsi="仿宋" w:eastAsia="仿宋" w:cs="仿宋"/>
          <w:color w:val="000000" w:themeColor="text1"/>
          <w:sz w:val="32"/>
          <w:szCs w:val="32"/>
        </w:rPr>
      </w:pPr>
      <w:r>
        <w:rPr>
          <w:rFonts w:hint="eastAsia" w:ascii="仿宋" w:hAnsi="仿宋" w:eastAsia="仿宋" w:cs="仿宋"/>
          <w:color w:val="000000" w:themeColor="text1"/>
          <w:sz w:val="32"/>
          <w:szCs w:val="32"/>
        </w:rPr>
        <w:t xml:space="preserve">2018 年度财政拨款支出4973.8万元，主要用于以下方面：科学技术类支出350万元，占 7.04%；节能环保支出333.32万元,占6.70%;农林水支出4290.48万元,占86.26%. </w:t>
      </w:r>
    </w:p>
    <w:p>
      <w:pPr>
        <w:adjustRightInd w:val="0"/>
        <w:snapToGrid w:val="0"/>
        <w:spacing w:after="0" w:line="580" w:lineRule="exact"/>
        <w:rPr>
          <w:rFonts w:ascii="仿宋" w:hAnsi="仿宋" w:eastAsia="仿宋" w:cs="仿宋"/>
          <w:b/>
          <w:bCs/>
          <w:sz w:val="32"/>
          <w:szCs w:val="32"/>
        </w:rPr>
      </w:pPr>
      <w:r>
        <w:rPr>
          <w:rFonts w:hint="eastAsia" w:ascii="仿宋" w:hAnsi="仿宋" w:eastAsia="仿宋" w:cs="仿宋"/>
          <w:color w:val="000000" w:themeColor="text1"/>
          <w:sz w:val="32"/>
          <w:szCs w:val="32"/>
        </w:rPr>
        <w:t>如图所示：</w:t>
      </w: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r>
        <w:drawing>
          <wp:anchor distT="0" distB="0" distL="0" distR="0" simplePos="0" relativeHeight="251684864" behindDoc="0" locked="0" layoutInCell="1" allowOverlap="1">
            <wp:simplePos x="0" y="0"/>
            <wp:positionH relativeFrom="column">
              <wp:posOffset>442595</wp:posOffset>
            </wp:positionH>
            <wp:positionV relativeFrom="paragraph">
              <wp:posOffset>-104140</wp:posOffset>
            </wp:positionV>
            <wp:extent cx="4258945" cy="2790825"/>
            <wp:effectExtent l="6350" t="6350" r="20955" b="22225"/>
            <wp:wrapTopAndBottom/>
            <wp:docPr id="6" name="图表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图5：财政拨款支出决算结构（按功能分类）</w:t>
      </w: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r>
        <w:rPr>
          <w:sz w:val="44"/>
        </w:rPr>
        <w:pict>
          <v:group id="组合 28" o:spid="_x0000_s1043" o:spt="203" style="position:absolute;left:0pt;margin-left:-0.55pt;margin-top:29.3pt;height:43.95pt;width:301.85pt;mso-position-horizontal-relative:page;mso-position-vertical-relative:page;z-index:251676672;mso-width-relative:page;mso-height-relative:page;" coordorigin="45,526" coordsize="85,13982" o:gfxdata="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">
            <o:lock v:ext="edit"/>
            <v:rect id="矩形 13" o:spid="_x0000_s1045" o:spt="1" style="position:absolute;left:45;top:526;height:11;width:85;v-text-anchor:middle;" fillcolor="#B8B8B8" filled="t" stroked="f" coordsize="21600,21600" o:gfxdata="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B/uDz7sAAADb&#10;AAAADwAAAAAAAAABACAAAAAiAAAAZHJzL2Rvd25yZXYueG1sUEsBAhQAFAAAAAgAh07iQDMvBZ47&#10;AAAAOQAAABAAAAAAAAAAAQAgAAAACgEAAGRycy9zaGFwZXhtbC54bWxQSwUGAAAAAAYABgBbAQAA&#10;tAMAAAAA&#10;">
              <v:path/>
              <v:fill on="t" focussize="0,0"/>
              <v:stroke on="f" weight="2pt"/>
              <v:imagedata o:title=""/>
              <o:lock v:ext="edit"/>
            </v:rect>
            <v:rect id="矩形 14" o:spid="_x0000_s1044" o:spt="1" style="position:absolute;left:45;top:528;height:12;width:84;v-text-anchor:middle;" fillcolor="#AD002D" filled="t" stroked="t" coordsize="21600,21600" o:gfxdata="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X0szvvQAA&#10;ANsAAAAPAAAAAAAAAAEAIAAAACIAAABkcnMvZG93bnJldi54bWxQSwECFAAUAAAACACHTuJAMy8F&#10;njsAAAA5AAAAEAAAAAAAAAABACAAAAAMAQAAZHJzL3NoYXBleG1sLnhtbFBLBQYAAAAABgAGAFsB&#10;AAC2AwAAAAA=&#10;">
              <v:path/>
              <v:fill on="t" focussize="0,0"/>
              <v:stroke weight="2pt" color="#805514"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楷体_GB2312" w:eastAsia="楷体_GB2312" w:cs="DengXian-Bold"/>
          <w:b/>
          <w:bCs/>
          <w:sz w:val="32"/>
          <w:szCs w:val="32"/>
        </w:rPr>
        <w:t>（四）一般公共预算财政拨款基本支出决算情况说明</w:t>
      </w:r>
    </w:p>
    <w:p>
      <w:pPr>
        <w:adjustRightInd w:val="0"/>
        <w:snapToGrid w:val="0"/>
        <w:spacing w:after="0" w:line="580" w:lineRule="exact"/>
        <w:ind w:firstLine="640" w:firstLineChars="200"/>
        <w:rPr>
          <w:rFonts w:hint="eastAsia" w:ascii="仿宋" w:hAnsi="仿宋" w:eastAsia="仿宋" w:cs="仿宋"/>
          <w:color w:val="000000" w:themeColor="text1"/>
          <w:sz w:val="32"/>
          <w:szCs w:val="32"/>
        </w:rPr>
      </w:pPr>
      <w:r>
        <w:rPr>
          <w:rFonts w:hint="eastAsia" w:ascii="仿宋" w:hAnsi="仿宋" w:eastAsia="仿宋" w:cs="仿宋"/>
          <w:color w:val="000000" w:themeColor="text1"/>
          <w:sz w:val="32"/>
          <w:szCs w:val="32"/>
        </w:rPr>
        <w:t>2018 年度一般公共预算财政拨款基本支出</w:t>
      </w:r>
      <w:r>
        <w:rPr>
          <w:rFonts w:hint="eastAsia" w:ascii="仿宋" w:hAnsi="仿宋" w:eastAsia="仿宋" w:cs="仿宋"/>
          <w:color w:val="000000" w:themeColor="text1"/>
          <w:sz w:val="32"/>
          <w:szCs w:val="32"/>
          <w:lang w:val="en-US" w:eastAsia="zh-CN"/>
        </w:rPr>
        <w:t>602.81</w:t>
      </w:r>
      <w:r>
        <w:rPr>
          <w:rFonts w:hint="eastAsia" w:ascii="仿宋" w:hAnsi="仿宋" w:eastAsia="仿宋" w:cs="仿宋"/>
          <w:color w:val="000000" w:themeColor="text1"/>
          <w:sz w:val="32"/>
          <w:szCs w:val="32"/>
        </w:rPr>
        <w:t>万元，其中：人员经费</w:t>
      </w:r>
      <w:r>
        <w:rPr>
          <w:rFonts w:hint="eastAsia" w:ascii="仿宋" w:hAnsi="仿宋" w:eastAsia="仿宋" w:cs="仿宋"/>
          <w:color w:val="000000" w:themeColor="text1"/>
          <w:sz w:val="32"/>
          <w:szCs w:val="32"/>
          <w:lang w:val="en-US" w:eastAsia="zh-CN"/>
        </w:rPr>
        <w:t>548.20</w:t>
      </w:r>
      <w:r>
        <w:rPr>
          <w:rFonts w:hint="eastAsia" w:ascii="仿宋" w:hAnsi="仿宋" w:eastAsia="仿宋" w:cs="仿宋"/>
          <w:color w:val="000000" w:themeColor="text1"/>
          <w:sz w:val="32"/>
          <w:szCs w:val="32"/>
        </w:rPr>
        <w:t>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w:t>
      </w:r>
      <w:r>
        <w:rPr>
          <w:rFonts w:hint="eastAsia" w:ascii="仿宋" w:hAnsi="仿宋" w:eastAsia="仿宋" w:cs="仿宋"/>
          <w:color w:val="000000" w:themeColor="text1"/>
          <w:sz w:val="32"/>
          <w:szCs w:val="32"/>
          <w:lang w:val="en-US" w:eastAsia="zh-CN"/>
        </w:rPr>
        <w:t>54.61</w:t>
      </w:r>
      <w:r>
        <w:rPr>
          <w:rFonts w:hint="eastAsia" w:ascii="仿宋" w:hAnsi="仿宋" w:eastAsia="仿宋" w:cs="仿宋"/>
          <w:color w:val="000000" w:themeColor="text1"/>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pStyle w:val="3"/>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 经费支出决算情况说明</w:t>
      </w:r>
    </w:p>
    <w:p>
      <w:pPr>
        <w:adjustRightInd w:val="0"/>
        <w:snapToGrid w:val="0"/>
        <w:spacing w:after="0" w:line="580" w:lineRule="exact"/>
        <w:ind w:firstLine="640" w:firstLineChars="200"/>
        <w:rPr>
          <w:rFonts w:hint="eastAsia" w:ascii="仿宋" w:hAnsi="仿宋" w:eastAsia="仿宋" w:cs="仿宋"/>
          <w:color w:val="000000" w:themeColor="text1"/>
          <w:sz w:val="32"/>
          <w:szCs w:val="32"/>
        </w:rPr>
      </w:pPr>
      <w:r>
        <w:rPr>
          <w:rFonts w:hint="eastAsia" w:ascii="仿宋" w:hAnsi="仿宋" w:eastAsia="仿宋" w:cs="仿宋"/>
          <w:color w:val="000000" w:themeColor="text1"/>
          <w:sz w:val="32"/>
          <w:szCs w:val="32"/>
        </w:rPr>
        <w:t>本部门2018年度“三公”经费支出共计0万元，较年初预算减少0.07万元，降低100%，主要是认真贯彻中央八项规定精神和厉行节约精神要求，从严控制“三公”经费开支，全年实际支出比预算减少。具体情况如下：</w:t>
      </w:r>
    </w:p>
    <w:p>
      <w:pPr>
        <w:adjustRightInd w:val="0"/>
        <w:snapToGrid w:val="0"/>
        <w:spacing w:after="0" w:line="580" w:lineRule="exact"/>
        <w:ind w:firstLine="640" w:firstLineChars="200"/>
        <w:rPr>
          <w:rFonts w:hint="eastAsia" w:ascii="仿宋" w:hAnsi="仿宋" w:eastAsia="仿宋" w:cs="仿宋"/>
          <w:color w:val="000000" w:themeColor="text1"/>
          <w:sz w:val="32"/>
          <w:szCs w:val="32"/>
        </w:rPr>
      </w:pPr>
    </w:p>
    <w:p>
      <w:pPr>
        <w:pStyle w:val="33"/>
        <w:numPr>
          <w:ilvl w:val="0"/>
          <w:numId w:val="3"/>
        </w:numPr>
        <w:spacing w:line="560" w:lineRule="exact"/>
        <w:ind w:firstLineChars="0"/>
        <w:rPr>
          <w:rFonts w:ascii="仿宋" w:hAnsi="仿宋" w:eastAsia="仿宋" w:cs="仿宋"/>
          <w:b/>
          <w:bCs/>
          <w:sz w:val="32"/>
          <w:szCs w:val="32"/>
        </w:rPr>
      </w:pPr>
      <w:r>
        <w:rPr>
          <w:rFonts w:hint="eastAsia" w:ascii="仿宋" w:hAnsi="仿宋" w:eastAsia="仿宋" w:cs="仿宋"/>
          <w:b/>
          <w:bCs/>
          <w:sz w:val="32"/>
          <w:szCs w:val="32"/>
        </w:rPr>
        <w:t>因公出国（境）费支出0万元。</w:t>
      </w:r>
    </w:p>
    <w:p>
      <w:pPr>
        <w:adjustRightInd w:val="0"/>
        <w:snapToGrid w:val="0"/>
        <w:spacing w:after="0" w:line="580" w:lineRule="exact"/>
        <w:ind w:firstLine="640" w:firstLineChars="200"/>
        <w:rPr>
          <w:rFonts w:hint="eastAsia" w:ascii="仿宋" w:hAnsi="仿宋" w:eastAsia="仿宋" w:cs="仿宋"/>
          <w:color w:val="000000" w:themeColor="text1"/>
          <w:sz w:val="32"/>
          <w:szCs w:val="32"/>
        </w:rPr>
      </w:pPr>
      <w:r>
        <w:rPr>
          <w:rFonts w:hint="eastAsia" w:ascii="仿宋" w:hAnsi="仿宋" w:eastAsia="仿宋" w:cs="仿宋"/>
          <w:color w:val="000000" w:themeColor="text1"/>
          <w:sz w:val="32"/>
          <w:szCs w:val="32"/>
        </w:rPr>
        <w:t>本部门2018年度因公出国(境)团组0个，共0人参加其他单位组织的因公出国。本单位无组织出国（境）团组。因公出国（境）费</w:t>
      </w:r>
      <w:r>
        <w:rPr>
          <w:rFonts w:hint="eastAsia" w:ascii="仿宋" w:hAnsi="仿宋" w:eastAsia="仿宋" w:cs="仿宋"/>
          <w:color w:val="000000" w:themeColor="text1"/>
          <w:sz w:val="32"/>
          <w:szCs w:val="32"/>
          <w:lang w:eastAsia="zh-CN"/>
        </w:rPr>
        <w:t>与</w:t>
      </w:r>
      <w:r>
        <w:rPr>
          <w:rFonts w:hint="eastAsia" w:ascii="仿宋" w:hAnsi="仿宋" w:eastAsia="仿宋" w:cs="仿宋"/>
          <w:color w:val="000000" w:themeColor="text1"/>
          <w:sz w:val="32"/>
          <w:szCs w:val="32"/>
        </w:rPr>
        <w:t>预算</w:t>
      </w:r>
      <w:r>
        <w:rPr>
          <w:rFonts w:hint="eastAsia" w:ascii="仿宋" w:hAnsi="仿宋" w:eastAsia="仿宋" w:cs="仿宋"/>
          <w:color w:val="000000" w:themeColor="text1"/>
          <w:sz w:val="32"/>
          <w:szCs w:val="32"/>
          <w:lang w:eastAsia="zh-CN"/>
        </w:rPr>
        <w:t>持平</w:t>
      </w:r>
      <w:r>
        <w:rPr>
          <w:rFonts w:hint="eastAsia" w:ascii="仿宋" w:hAnsi="仿宋" w:eastAsia="仿宋" w:cs="仿宋"/>
          <w:color w:val="000000" w:themeColor="text1"/>
          <w:sz w:val="32"/>
          <w:szCs w:val="32"/>
        </w:rPr>
        <w:t>，</w:t>
      </w:r>
      <w:r>
        <w:rPr>
          <w:rFonts w:hint="eastAsia" w:ascii="仿宋" w:hAnsi="仿宋" w:eastAsia="仿宋" w:cs="仿宋"/>
          <w:color w:val="000000" w:themeColor="text1"/>
          <w:sz w:val="32"/>
          <w:szCs w:val="32"/>
          <w:lang w:eastAsia="zh-CN"/>
        </w:rPr>
        <w:t>为</w:t>
      </w:r>
      <w:r>
        <w:rPr>
          <w:rFonts w:hint="eastAsia" w:ascii="仿宋" w:hAnsi="仿宋" w:eastAsia="仿宋" w:cs="仿宋"/>
          <w:color w:val="000000" w:themeColor="text1"/>
          <w:sz w:val="32"/>
          <w:szCs w:val="32"/>
          <w:lang w:val="en-US" w:eastAsia="zh-CN"/>
        </w:rPr>
        <w:t>0万元。</w:t>
      </w:r>
      <w:r>
        <w:rPr>
          <w:rFonts w:hint="eastAsia" w:ascii="仿宋" w:hAnsi="仿宋" w:eastAsia="仿宋" w:cs="仿宋"/>
          <w:color w:val="000000" w:themeColor="text1"/>
          <w:sz w:val="32"/>
          <w:szCs w:val="32"/>
        </w:rPr>
        <w:t>主要是本单位无组织和参加其他单位组织出国（境）团组。</w:t>
      </w:r>
    </w:p>
    <w:p>
      <w:pPr>
        <w:pStyle w:val="33"/>
        <w:numPr>
          <w:ilvl w:val="0"/>
          <w:numId w:val="3"/>
        </w:numPr>
        <w:adjustRightInd w:val="0"/>
        <w:snapToGrid w:val="0"/>
        <w:spacing w:after="0" w:line="580" w:lineRule="exact"/>
        <w:ind w:firstLineChars="0"/>
        <w:rPr>
          <w:rFonts w:ascii="仿宋" w:hAnsi="仿宋" w:eastAsia="仿宋" w:cs="仿宋"/>
          <w:b/>
          <w:bCs/>
          <w:sz w:val="32"/>
          <w:szCs w:val="32"/>
        </w:rPr>
      </w:pPr>
      <w:r>
        <w:rPr>
          <w:rFonts w:hint="eastAsia" w:ascii="仿宋" w:hAnsi="仿宋" w:eastAsia="仿宋" w:cs="仿宋"/>
          <w:b/>
          <w:bCs/>
          <w:sz w:val="32"/>
          <w:szCs w:val="32"/>
        </w:rPr>
        <w:t>公务用车购置及运行维护费支出0万元。</w:t>
      </w:r>
    </w:p>
    <w:p>
      <w:pPr>
        <w:adjustRightInd w:val="0"/>
        <w:snapToGrid w:val="0"/>
        <w:spacing w:after="0" w:line="580" w:lineRule="exact"/>
        <w:ind w:left="640" w:leftChars="305" w:firstLine="640" w:firstLineChars="200"/>
        <w:rPr>
          <w:rFonts w:hint="eastAsia" w:ascii="仿宋" w:hAnsi="仿宋" w:eastAsia="仿宋" w:cs="仿宋"/>
          <w:sz w:val="32"/>
          <w:szCs w:val="32"/>
          <w:lang w:eastAsia="zh-CN"/>
        </w:rPr>
      </w:pPr>
      <w:r>
        <w:rPr>
          <w:rFonts w:hint="eastAsia" w:ascii="仿宋" w:hAnsi="仿宋" w:eastAsia="仿宋" w:cs="仿宋"/>
          <w:color w:val="000000" w:themeColor="text1"/>
          <w:sz w:val="32"/>
          <w:szCs w:val="32"/>
        </w:rPr>
        <w:t>2018年本部门公务用车购置及运行维护费</w:t>
      </w:r>
      <w:r>
        <w:rPr>
          <w:rFonts w:hint="eastAsia" w:ascii="仿宋" w:hAnsi="仿宋" w:eastAsia="仿宋" w:cs="仿宋"/>
          <w:color w:val="000000" w:themeColor="text1"/>
          <w:sz w:val="32"/>
          <w:szCs w:val="32"/>
          <w:lang w:eastAsia="zh-CN"/>
        </w:rPr>
        <w:t>未发生经费支出与</w:t>
      </w:r>
      <w:r>
        <w:rPr>
          <w:rFonts w:hint="eastAsia" w:ascii="仿宋" w:hAnsi="仿宋" w:eastAsia="仿宋" w:cs="仿宋"/>
          <w:color w:val="000000" w:themeColor="text1"/>
          <w:sz w:val="32"/>
          <w:szCs w:val="32"/>
        </w:rPr>
        <w:t>年初预算</w:t>
      </w:r>
      <w:r>
        <w:rPr>
          <w:rFonts w:hint="eastAsia" w:ascii="仿宋" w:hAnsi="仿宋" w:eastAsia="仿宋" w:cs="仿宋"/>
          <w:color w:val="000000" w:themeColor="text1"/>
          <w:sz w:val="32"/>
          <w:szCs w:val="32"/>
          <w:lang w:eastAsia="zh-CN"/>
        </w:rPr>
        <w:t>持平</w:t>
      </w:r>
      <w:r>
        <w:rPr>
          <w:rFonts w:hint="eastAsia" w:ascii="仿宋" w:hAnsi="仿宋" w:eastAsia="仿宋" w:cs="仿宋"/>
          <w:color w:val="000000" w:themeColor="text1"/>
          <w:sz w:val="32"/>
          <w:szCs w:val="32"/>
        </w:rPr>
        <w:t>，</w:t>
      </w:r>
      <w:r>
        <w:rPr>
          <w:rFonts w:hint="eastAsia" w:ascii="仿宋" w:hAnsi="仿宋" w:eastAsia="仿宋" w:cs="仿宋"/>
          <w:color w:val="000000" w:themeColor="text1"/>
          <w:sz w:val="32"/>
          <w:szCs w:val="32"/>
          <w:lang w:eastAsia="zh-CN"/>
        </w:rPr>
        <w:t>均为</w:t>
      </w:r>
      <w:r>
        <w:rPr>
          <w:rFonts w:hint="eastAsia" w:ascii="仿宋" w:hAnsi="仿宋" w:eastAsia="仿宋" w:cs="仿宋"/>
          <w:color w:val="000000" w:themeColor="text1"/>
          <w:sz w:val="32"/>
          <w:szCs w:val="32"/>
        </w:rPr>
        <w:t xml:space="preserve"> 0万元</w:t>
      </w:r>
      <w:r>
        <w:rPr>
          <w:rFonts w:hint="eastAsia" w:ascii="仿宋" w:hAnsi="仿宋" w:eastAsia="仿宋" w:cs="仿宋"/>
          <w:color w:val="000000" w:themeColor="text1"/>
          <w:sz w:val="32"/>
          <w:szCs w:val="32"/>
          <w:lang w:eastAsia="zh-CN"/>
        </w:rPr>
        <w:t>，主要是没有</w:t>
      </w:r>
      <w:r>
        <w:rPr>
          <w:rFonts w:hint="eastAsia" w:ascii="仿宋" w:hAnsi="仿宋" w:eastAsia="仿宋" w:cs="仿宋"/>
          <w:color w:val="000000" w:themeColor="text1"/>
          <w:sz w:val="32"/>
          <w:szCs w:val="32"/>
        </w:rPr>
        <w:t>公</w:t>
      </w:r>
      <w:r>
        <w:rPr>
          <w:rFonts w:hint="eastAsia" w:ascii="仿宋" w:hAnsi="仿宋" w:eastAsia="仿宋" w:cs="仿宋"/>
          <w:color w:val="000000" w:themeColor="text1"/>
          <w:sz w:val="32"/>
          <w:szCs w:val="32"/>
          <w:lang w:eastAsia="zh-CN"/>
        </w:rPr>
        <w:t>务用车</w:t>
      </w:r>
      <w:r>
        <w:rPr>
          <w:rFonts w:hint="eastAsia" w:ascii="仿宋" w:hAnsi="仿宋" w:eastAsia="仿宋" w:cs="仿宋"/>
          <w:sz w:val="32"/>
          <w:szCs w:val="32"/>
          <w:lang w:eastAsia="zh-CN"/>
        </w:rPr>
        <w:t>购置及运行维护费支出。其中：</w:t>
      </w:r>
    </w:p>
    <w:p>
      <w:pPr>
        <w:pageBreakBefore w:val="0"/>
        <w:kinsoku/>
        <w:wordWrap/>
        <w:overflowPunct/>
        <w:topLinePunct w:val="0"/>
        <w:autoSpaceDE/>
        <w:autoSpaceDN/>
        <w:bidi w:val="0"/>
        <w:adjustRightInd w:val="0"/>
        <w:snapToGrid w:val="0"/>
        <w:spacing w:before="157" w:beforeLines="50" w:after="0" w:line="360" w:lineRule="auto"/>
        <w:ind w:firstLine="643" w:firstLineChars="200"/>
        <w:rPr>
          <w:rFonts w:hint="eastAsia" w:ascii="仿宋" w:hAnsi="仿宋" w:eastAsia="仿宋" w:cs="仿宋"/>
          <w:sz w:val="32"/>
          <w:szCs w:val="32"/>
          <w:lang w:val="en-US" w:eastAsia="zh-CN"/>
        </w:rPr>
      </w:pPr>
      <w:r>
        <w:rPr>
          <w:rFonts w:hint="eastAsia" w:ascii="仿宋_GB2312" w:eastAsia="仿宋_GB2312" w:cs="DengXian-Regular"/>
          <w:b/>
          <w:sz w:val="32"/>
          <w:szCs w:val="32"/>
        </w:rPr>
        <w:t>公务用车购置费：</w:t>
      </w:r>
      <w:r>
        <w:rPr>
          <w:rFonts w:hint="eastAsia" w:ascii="仿宋" w:hAnsi="仿宋" w:eastAsia="仿宋" w:cs="仿宋"/>
          <w:sz w:val="32"/>
          <w:szCs w:val="32"/>
        </w:rPr>
        <w:t>本部门2018年度公务用车购置量</w:t>
      </w:r>
      <w:r>
        <w:rPr>
          <w:rFonts w:hint="eastAsia" w:ascii="仿宋" w:hAnsi="仿宋" w:eastAsia="仿宋" w:cs="仿宋"/>
          <w:sz w:val="32"/>
          <w:szCs w:val="32"/>
          <w:lang w:val="en-US" w:eastAsia="zh-CN"/>
        </w:rPr>
        <w:t>0</w:t>
      </w:r>
      <w:r>
        <w:rPr>
          <w:rFonts w:hint="eastAsia" w:ascii="仿宋" w:hAnsi="仿宋" w:eastAsia="仿宋" w:cs="仿宋"/>
          <w:sz w:val="32"/>
          <w:szCs w:val="32"/>
        </w:rPr>
        <w:t>辆，发生“公务用车购置”经费支出</w:t>
      </w:r>
      <w:r>
        <w:rPr>
          <w:rFonts w:hint="eastAsia" w:ascii="仿宋" w:hAnsi="仿宋" w:eastAsia="仿宋" w:cs="仿宋"/>
          <w:sz w:val="32"/>
          <w:szCs w:val="32"/>
          <w:lang w:val="en-US" w:eastAsia="zh-CN"/>
        </w:rPr>
        <w:t>0</w:t>
      </w:r>
      <w:r>
        <w:rPr>
          <w:rFonts w:hint="eastAsia" w:ascii="仿宋" w:hAnsi="仿宋" w:eastAsia="仿宋" w:cs="仿宋"/>
          <w:sz w:val="32"/>
          <w:szCs w:val="32"/>
        </w:rPr>
        <w:t>万元。公务用车购置费支出较年初预算无增减变化</w:t>
      </w:r>
      <w:r>
        <w:rPr>
          <w:rFonts w:hint="eastAsia" w:ascii="仿宋" w:hAnsi="仿宋" w:eastAsia="仿宋" w:cs="仿宋"/>
          <w:sz w:val="32"/>
          <w:szCs w:val="32"/>
          <w:lang w:val="en-US" w:eastAsia="zh-CN"/>
        </w:rPr>
        <w:t>,</w:t>
      </w:r>
      <w:r>
        <w:rPr>
          <w:rFonts w:hint="eastAsia" w:ascii="仿宋" w:hAnsi="仿宋" w:eastAsia="仿宋" w:cs="仿宋"/>
          <w:sz w:val="32"/>
          <w:szCs w:val="32"/>
        </w:rPr>
        <w:t>未发生公务用车购置经费支出</w:t>
      </w:r>
      <w:r>
        <w:rPr>
          <w:rFonts w:hint="eastAsia" w:ascii="仿宋" w:hAnsi="仿宋" w:eastAsia="仿宋" w:cs="仿宋"/>
          <w:sz w:val="32"/>
          <w:szCs w:val="32"/>
          <w:lang w:val="en-US" w:eastAsia="zh-CN"/>
        </w:rPr>
        <w:t>,主要是无公务用车购置费支出。</w:t>
      </w:r>
    </w:p>
    <w:p>
      <w:pPr>
        <w:pageBreakBefore w:val="0"/>
        <w:kinsoku/>
        <w:wordWrap/>
        <w:overflowPunct/>
        <w:topLinePunct w:val="0"/>
        <w:autoSpaceDE/>
        <w:autoSpaceDN/>
        <w:bidi w:val="0"/>
        <w:adjustRightInd w:val="0"/>
        <w:snapToGrid w:val="0"/>
        <w:spacing w:before="157" w:beforeLines="50" w:after="0" w:line="360" w:lineRule="auto"/>
        <w:ind w:firstLine="643" w:firstLineChars="200"/>
        <w:rPr>
          <w:rFonts w:hint="eastAsia" w:ascii="仿宋" w:hAnsi="仿宋" w:eastAsia="仿宋" w:cs="仿宋"/>
          <w:sz w:val="32"/>
          <w:szCs w:val="32"/>
          <w:lang w:eastAsia="zh-CN"/>
        </w:rPr>
      </w:pPr>
      <w:r>
        <w:rPr>
          <w:rFonts w:hint="eastAsia" w:ascii="仿宋_GB2312" w:eastAsia="仿宋_GB2312" w:cs="DengXian-Regular"/>
          <w:b/>
          <w:sz w:val="32"/>
          <w:szCs w:val="32"/>
        </w:rPr>
        <w:t>公务用车运行维护费：</w:t>
      </w:r>
      <w:r>
        <w:rPr>
          <w:rFonts w:hint="eastAsia" w:ascii="仿宋" w:hAnsi="仿宋" w:eastAsia="仿宋" w:cs="仿宋"/>
          <w:sz w:val="32"/>
          <w:szCs w:val="32"/>
        </w:rPr>
        <w:t>本部门2018年度单位公务用车保有量</w:t>
      </w:r>
      <w:r>
        <w:rPr>
          <w:rFonts w:hint="eastAsia" w:ascii="仿宋" w:hAnsi="仿宋" w:eastAsia="仿宋" w:cs="仿宋"/>
          <w:sz w:val="32"/>
          <w:szCs w:val="32"/>
          <w:lang w:val="en-US" w:eastAsia="zh-CN"/>
        </w:rPr>
        <w:t>0</w:t>
      </w:r>
      <w:r>
        <w:rPr>
          <w:rFonts w:hint="eastAsia" w:ascii="仿宋" w:hAnsi="仿宋" w:eastAsia="仿宋" w:cs="仿宋"/>
          <w:sz w:val="32"/>
          <w:szCs w:val="32"/>
        </w:rPr>
        <w:t>辆。公车运行维护费支出</w:t>
      </w:r>
      <w:r>
        <w:rPr>
          <w:rFonts w:hint="eastAsia" w:ascii="仿宋" w:hAnsi="仿宋" w:eastAsia="仿宋" w:cs="仿宋"/>
          <w:sz w:val="32"/>
          <w:szCs w:val="32"/>
          <w:lang w:eastAsia="zh-CN"/>
        </w:rPr>
        <w:t>与</w:t>
      </w:r>
      <w:r>
        <w:rPr>
          <w:rFonts w:hint="eastAsia" w:ascii="仿宋" w:hAnsi="仿宋" w:eastAsia="仿宋" w:cs="仿宋"/>
          <w:sz w:val="32"/>
          <w:szCs w:val="32"/>
        </w:rPr>
        <w:t>年初预算</w:t>
      </w:r>
      <w:r>
        <w:rPr>
          <w:rFonts w:hint="eastAsia" w:ascii="仿宋" w:hAnsi="仿宋" w:eastAsia="仿宋" w:cs="仿宋"/>
          <w:sz w:val="32"/>
          <w:szCs w:val="32"/>
          <w:lang w:eastAsia="zh-CN"/>
        </w:rPr>
        <w:t>持平</w:t>
      </w:r>
      <w:r>
        <w:rPr>
          <w:rFonts w:hint="eastAsia" w:ascii="仿宋" w:hAnsi="仿宋" w:eastAsia="仿宋" w:cs="仿宋"/>
          <w:sz w:val="32"/>
          <w:szCs w:val="32"/>
        </w:rPr>
        <w:t>，</w:t>
      </w:r>
      <w:r>
        <w:rPr>
          <w:rFonts w:hint="eastAsia" w:ascii="仿宋" w:hAnsi="仿宋" w:eastAsia="仿宋" w:cs="仿宋"/>
          <w:sz w:val="32"/>
          <w:szCs w:val="32"/>
          <w:lang w:eastAsia="zh-CN"/>
        </w:rPr>
        <w:t>均为</w:t>
      </w:r>
      <w:r>
        <w:rPr>
          <w:rFonts w:hint="eastAsia" w:ascii="仿宋" w:hAnsi="仿宋" w:eastAsia="仿宋" w:cs="仿宋"/>
          <w:sz w:val="32"/>
          <w:szCs w:val="32"/>
        </w:rPr>
        <w:t xml:space="preserve"> 0万元</w:t>
      </w:r>
      <w:r>
        <w:rPr>
          <w:rFonts w:hint="eastAsia" w:ascii="仿宋" w:hAnsi="仿宋" w:eastAsia="仿宋" w:cs="仿宋"/>
          <w:sz w:val="32"/>
          <w:szCs w:val="32"/>
          <w:lang w:eastAsia="zh-CN"/>
        </w:rPr>
        <w:t>，主要是没有公务用车运行维护费支出。</w:t>
      </w:r>
    </w:p>
    <w:p>
      <w:pPr>
        <w:pStyle w:val="33"/>
        <w:numPr>
          <w:ilvl w:val="0"/>
          <w:numId w:val="3"/>
        </w:numPr>
        <w:adjustRightInd w:val="0"/>
        <w:snapToGrid w:val="0"/>
        <w:spacing w:after="0" w:line="580" w:lineRule="exact"/>
        <w:ind w:firstLineChars="0"/>
        <w:rPr>
          <w:rFonts w:ascii="仿宋" w:hAnsi="仿宋" w:eastAsia="仿宋" w:cs="仿宋"/>
          <w:b/>
          <w:bCs/>
          <w:sz w:val="32"/>
          <w:szCs w:val="32"/>
        </w:rPr>
      </w:pPr>
      <w:r>
        <w:rPr>
          <w:rFonts w:hint="eastAsia" w:ascii="仿宋" w:hAnsi="仿宋" w:eastAsia="仿宋" w:cs="仿宋"/>
          <w:b/>
          <w:bCs/>
          <w:sz w:val="32"/>
          <w:szCs w:val="32"/>
        </w:rPr>
        <w:t>公务接待费支出0万元。</w:t>
      </w:r>
    </w:p>
    <w:p>
      <w:pPr>
        <w:pageBreakBefore w:val="0"/>
        <w:kinsoku/>
        <w:wordWrap/>
        <w:overflowPunct/>
        <w:topLinePunct w:val="0"/>
        <w:autoSpaceDE/>
        <w:autoSpaceDN/>
        <w:bidi w:val="0"/>
        <w:adjustRightInd w:val="0"/>
        <w:snapToGrid w:val="0"/>
        <w:spacing w:before="157" w:beforeLines="50" w:after="0" w:line="360" w:lineRule="auto"/>
        <w:ind w:firstLine="880" w:firstLineChars="200"/>
        <w:rPr>
          <w:rFonts w:ascii="仿宋" w:hAnsi="仿宋" w:eastAsia="仿宋" w:cs="仿宋"/>
          <w:sz w:val="32"/>
          <w:szCs w:val="32"/>
        </w:rPr>
      </w:pPr>
      <w:r>
        <w:rPr>
          <w:rFonts w:ascii="仿宋" w:hAnsi="仿宋" w:eastAsia="仿宋" w:cs="仿宋"/>
          <w:sz w:val="44"/>
        </w:rPr>
        <w:pict>
          <v:group id="组合 19" o:spid="_x0000_s1040" o:spt="203" style="position:absolute;left:0pt;margin-left:-0.55pt;margin-top:29.3pt;height:43.95pt;width:301.85pt;mso-position-horizontal-relative:page;mso-position-vertical-relative:page;z-index:251677696;mso-width-relative:page;mso-height-relative:page;" coordorigin="45,526" coordsize="85,13982" o:gfxdata="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">
            <o:lock v:ext="edit"/>
            <v:rect id="矩形 13" o:spid="_x0000_s1042" o:spt="1" style="position:absolute;left:45;top:526;height:11;width:85;v-text-anchor:middle;" fillcolor="#B8B8B8" filled="t" stroked="f" coordsize="21600,21600" o:gfxdata="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516+IL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41" o:spt="1" style="position:absolute;left:45;top:528;height:12;width:84;v-text-anchor:middle;" fillcolor="#AD002D" filled="t" stroked="t" coordsize="21600,21600" o:gfxdata="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Hd38QC/&#10;AAAA2wAAAA8AAAAAAAAAAQAgAAAAIgAAAGRycy9kb3ducmV2LnhtbFBLAQIUABQAAAAIAIdO4kAz&#10;LwWeOwAAADkAAAAQAAAAAAAAAAEAIAAAAA4BAABkcnMvc2hhcGV4bWwueG1sUEsFBgAAAAAGAAYA&#10;WwEAALgDAAAAAA==&#10;">
              <v:path/>
              <v:fill on="t" focussize="0,0"/>
              <v:stroke weight="2pt" color="#805514"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仿宋" w:hAnsi="仿宋" w:eastAsia="仿宋" w:cs="仿宋"/>
          <w:sz w:val="32"/>
          <w:szCs w:val="32"/>
        </w:rPr>
        <w:t>本部门2018年度公务接待共0批次、0人次。公务接待费</w:t>
      </w:r>
      <w:r>
        <w:rPr>
          <w:rFonts w:hint="eastAsia" w:ascii="仿宋" w:hAnsi="仿宋" w:eastAsia="仿宋" w:cs="仿宋"/>
          <w:sz w:val="32"/>
          <w:szCs w:val="32"/>
          <w:lang w:eastAsia="zh-CN"/>
        </w:rPr>
        <w:t>支出较</w:t>
      </w:r>
      <w:r>
        <w:rPr>
          <w:rFonts w:hint="eastAsia" w:ascii="仿宋" w:hAnsi="仿宋" w:eastAsia="仿宋" w:cs="仿宋"/>
          <w:sz w:val="32"/>
          <w:szCs w:val="32"/>
        </w:rPr>
        <w:t>年初预算</w:t>
      </w:r>
      <w:r>
        <w:rPr>
          <w:rFonts w:hint="eastAsia" w:ascii="仿宋" w:hAnsi="仿宋" w:eastAsia="仿宋" w:cs="仿宋"/>
          <w:sz w:val="32"/>
          <w:szCs w:val="32"/>
          <w:lang w:eastAsia="zh-CN"/>
        </w:rPr>
        <w:t>减少</w:t>
      </w:r>
      <w:r>
        <w:rPr>
          <w:rFonts w:hint="eastAsia" w:ascii="仿宋" w:hAnsi="仿宋" w:eastAsia="仿宋" w:cs="仿宋"/>
          <w:sz w:val="32"/>
          <w:szCs w:val="32"/>
        </w:rPr>
        <w:t>0.07万元，</w:t>
      </w:r>
      <w:r>
        <w:rPr>
          <w:rFonts w:hint="eastAsia" w:ascii="仿宋" w:hAnsi="仿宋" w:eastAsia="仿宋" w:cs="仿宋"/>
          <w:sz w:val="32"/>
          <w:szCs w:val="32"/>
          <w:lang w:eastAsia="zh-CN"/>
        </w:rPr>
        <w:t>降低了</w:t>
      </w:r>
      <w:r>
        <w:rPr>
          <w:rFonts w:hint="eastAsia" w:ascii="仿宋" w:hAnsi="仿宋" w:eastAsia="仿宋" w:cs="仿宋"/>
          <w:sz w:val="32"/>
          <w:szCs w:val="32"/>
          <w:lang w:val="en-US" w:eastAsia="zh-CN"/>
        </w:rPr>
        <w:t>100%</w:t>
      </w:r>
      <w:r>
        <w:rPr>
          <w:rFonts w:hint="eastAsia" w:ascii="仿宋" w:hAnsi="仿宋" w:eastAsia="仿宋" w:cs="仿宋"/>
          <w:sz w:val="32"/>
          <w:szCs w:val="32"/>
        </w:rPr>
        <w:t>，主要是</w:t>
      </w:r>
      <w:r>
        <w:rPr>
          <w:rFonts w:hint="eastAsia" w:ascii="仿宋" w:hAnsi="仿宋" w:eastAsia="仿宋" w:cs="仿宋"/>
          <w:sz w:val="32"/>
          <w:szCs w:val="32"/>
          <w:lang w:eastAsia="zh-CN"/>
        </w:rPr>
        <w:t>严格执行公务接待标准，本单位无公务接待</w:t>
      </w:r>
      <w:r>
        <w:rPr>
          <w:rFonts w:hint="eastAsia" w:ascii="仿宋" w:hAnsi="仿宋" w:eastAsia="仿宋" w:cs="仿宋"/>
          <w:sz w:val="32"/>
          <w:szCs w:val="32"/>
        </w:rPr>
        <w:t>。</w:t>
      </w:r>
    </w:p>
    <w:p>
      <w:pPr>
        <w:pStyle w:val="3"/>
        <w:spacing w:before="0" w:after="0" w:line="360" w:lineRule="auto"/>
        <w:ind w:firstLine="643" w:firstLineChars="200"/>
        <w:rPr>
          <w:rFonts w:ascii="黑体" w:eastAsia="黑体" w:cs="Times New Roman"/>
        </w:rPr>
      </w:pPr>
      <w:r>
        <w:rPr>
          <w:rFonts w:hint="eastAsia" w:ascii="黑体" w:eastAsia="黑体"/>
          <w:szCs w:val="40"/>
        </w:rPr>
        <w:t>六、</w:t>
      </w:r>
      <w:r>
        <w:rPr>
          <w:rFonts w:hint="eastAsia" w:ascii="黑体" w:eastAsia="黑体" w:cs="Times New Roman"/>
        </w:rPr>
        <w:t>绩效预算情况说明</w:t>
      </w:r>
    </w:p>
    <w:p>
      <w:pPr>
        <w:adjustRightInd w:val="0"/>
        <w:snapToGrid w:val="0"/>
        <w:spacing w:after="0" w:line="360" w:lineRule="auto"/>
        <w:ind w:firstLine="640" w:firstLineChars="200"/>
        <w:rPr>
          <w:rFonts w:ascii="仿宋" w:hAnsi="仿宋" w:eastAsia="仿宋" w:cs="仿宋"/>
          <w:sz w:val="32"/>
          <w:szCs w:val="32"/>
        </w:rPr>
      </w:pPr>
      <w:r>
        <w:rPr>
          <w:rFonts w:hint="eastAsia" w:ascii="仿宋" w:hAnsi="仿宋" w:eastAsia="仿宋" w:cs="仿宋"/>
          <w:sz w:val="32"/>
          <w:szCs w:val="32"/>
        </w:rPr>
        <w:t>（一）绩效管理工作开展情况。根据《关于开展2018年度财政专项资金部门绩效自评价工作的通知》（石财绩[2019]1号），本单位认真开展了预算绩效管理改革开展情况自查，对部门全面规范绩效预算编制、严格预算执行管理、推进绩效评价工作、推进预决算信息公开等方面进行了自评，考核结果为良好。</w:t>
      </w:r>
    </w:p>
    <w:p>
      <w:pPr>
        <w:adjustRightInd w:val="0"/>
        <w:snapToGrid w:val="0"/>
        <w:spacing w:after="0" w:line="360" w:lineRule="auto"/>
        <w:ind w:firstLine="640" w:firstLineChars="200"/>
        <w:rPr>
          <w:rFonts w:ascii="仿宋" w:hAnsi="仿宋" w:eastAsia="仿宋" w:cs="仿宋"/>
          <w:sz w:val="32"/>
          <w:szCs w:val="32"/>
        </w:rPr>
      </w:pPr>
      <w:r>
        <w:rPr>
          <w:rFonts w:hint="eastAsia" w:ascii="仿宋" w:hAnsi="仿宋" w:eastAsia="仿宋" w:cs="仿宋"/>
          <w:sz w:val="32"/>
          <w:szCs w:val="32"/>
        </w:rPr>
        <w:t>（二）预算项目绩效评价开展情况根据预算绩效管理要求，本单位组织对2018年度一般公共预算项目支出全面开展绩效自评，涉及农业科技成果转化及推广、新型职业农民培育、蔬菜示范工程等多个项目，涉及资金</w:t>
      </w:r>
      <w:r>
        <w:rPr>
          <w:rFonts w:hint="eastAsia" w:ascii="仿宋" w:hAnsi="仿宋" w:eastAsia="仿宋" w:cs="仿宋"/>
          <w:sz w:val="32"/>
          <w:szCs w:val="32"/>
          <w:lang w:val="en-US" w:eastAsia="zh-CN"/>
        </w:rPr>
        <w:t>4370.98</w:t>
      </w:r>
      <w:r>
        <w:rPr>
          <w:rFonts w:hint="eastAsia" w:ascii="仿宋" w:hAnsi="仿宋" w:eastAsia="仿宋" w:cs="仿宋"/>
          <w:sz w:val="32"/>
          <w:szCs w:val="32"/>
        </w:rPr>
        <w:t>万元。从评价情况看，评价结果项目基本都是良好。</w:t>
      </w:r>
    </w:p>
    <w:p>
      <w:pPr>
        <w:adjustRightInd w:val="0"/>
        <w:snapToGrid w:val="0"/>
        <w:spacing w:after="0" w:line="360" w:lineRule="auto"/>
        <w:ind w:firstLine="640" w:firstLineChars="200"/>
        <w:rPr>
          <w:rFonts w:ascii="仿宋" w:hAnsi="仿宋" w:eastAsia="仿宋" w:cs="仿宋"/>
          <w:sz w:val="32"/>
          <w:szCs w:val="32"/>
        </w:rPr>
      </w:pPr>
      <w:r>
        <w:rPr>
          <w:rFonts w:hint="eastAsia" w:ascii="仿宋" w:hAnsi="仿宋" w:eastAsia="仿宋" w:cs="仿宋"/>
          <w:sz w:val="32"/>
          <w:szCs w:val="32"/>
        </w:rPr>
        <w:t>（三）预算项目绩效自评选例</w:t>
      </w:r>
    </w:p>
    <w:p>
      <w:pPr>
        <w:spacing w:line="360" w:lineRule="auto"/>
        <w:ind w:firstLine="640" w:firstLineChars="200"/>
        <w:rPr>
          <w:rFonts w:ascii="仿宋_GB2312" w:eastAsia="仿宋_GB2312" w:cs="DengXian-Regular"/>
          <w:sz w:val="32"/>
          <w:szCs w:val="32"/>
        </w:rPr>
      </w:pPr>
      <w:r>
        <w:rPr>
          <w:rFonts w:hint="eastAsia" w:ascii="仿宋" w:hAnsi="仿宋" w:eastAsia="仿宋" w:cs="仿宋"/>
          <w:sz w:val="32"/>
          <w:szCs w:val="32"/>
        </w:rPr>
        <w:t>本单位2018年蔬菜示范工程项目绩效自评：根据年初设定的绩效目标，2018年蔬菜示范工程项目绩效自评结果为良好。该项目全年预算数为165万元，执行数为165万元，完成预算的100%。主要产出和效果是按照农业产业化发展要求，深入实施龙头带动战略，促进龙头企业晋档升级，抓好企业品牌培育，着力打造一批在全市、全省影响力较大的农产品品牌。</w:t>
      </w:r>
    </w:p>
    <w:p>
      <w:pPr>
        <w:pStyle w:val="3"/>
        <w:spacing w:before="0" w:after="0" w:line="580" w:lineRule="exact"/>
        <w:ind w:firstLine="640" w:firstLineChars="200"/>
        <w:rPr>
          <w:rFonts w:ascii="黑体" w:eastAsia="黑体" w:cs="Times New Roman"/>
          <w:b w:val="0"/>
          <w:bCs w:val="0"/>
        </w:rPr>
      </w:pPr>
      <w:r>
        <w:rPr>
          <w:rFonts w:hint="eastAsia" w:ascii="黑体" w:eastAsia="黑体" w:cs="Times New Roman"/>
          <w:b w:val="0"/>
          <w:bCs w:val="0"/>
        </w:rPr>
        <w:t>七、其他重要事项的说明</w:t>
      </w:r>
    </w:p>
    <w:p>
      <w:pPr>
        <w:pStyle w:val="4"/>
        <w:spacing w:before="0" w:after="0" w:line="580" w:lineRule="exact"/>
        <w:ind w:firstLine="643" w:firstLineChars="200"/>
        <w:rPr>
          <w:rFonts w:ascii="仿宋" w:hAnsi="仿宋" w:eastAsia="仿宋" w:cs="仿宋"/>
        </w:rPr>
      </w:pPr>
      <w:r>
        <w:rPr>
          <w:rFonts w:hint="eastAsia" w:ascii="仿宋" w:hAnsi="仿宋" w:eastAsia="仿宋" w:cs="仿宋"/>
        </w:rPr>
        <w:t>（一）机关运行经费情况</w:t>
      </w:r>
    </w:p>
    <w:p>
      <w:pPr>
        <w:adjustRightInd w:val="0"/>
        <w:snapToGrid w:val="0"/>
        <w:spacing w:after="0" w:line="560" w:lineRule="exact"/>
        <w:ind w:firstLine="640" w:firstLineChars="200"/>
        <w:rPr>
          <w:rFonts w:ascii="仿宋" w:hAnsi="仿宋" w:eastAsia="仿宋" w:cs="仿宋"/>
          <w:sz w:val="32"/>
          <w:szCs w:val="32"/>
        </w:rPr>
      </w:pPr>
      <w:r>
        <w:rPr>
          <w:rFonts w:hint="eastAsia" w:ascii="仿宋" w:hAnsi="仿宋" w:eastAsia="仿宋" w:cs="仿宋"/>
          <w:sz w:val="32"/>
          <w:szCs w:val="32"/>
        </w:rPr>
        <w:t>本部门2018年度机关运行经费支出54.61万元，比年初预算数增加34.15万元，增长166.91%。主要原因是2018年在创建文明城、卫生城活动中委托业务费、其他交通费等支出增加。</w:t>
      </w:r>
    </w:p>
    <w:p>
      <w:pPr>
        <w:pStyle w:val="4"/>
        <w:spacing w:before="0" w:after="0" w:line="580" w:lineRule="exact"/>
        <w:ind w:firstLine="643" w:firstLineChars="200"/>
        <w:rPr>
          <w:rFonts w:ascii="仿宋" w:hAnsi="仿宋" w:eastAsia="仿宋" w:cs="仿宋"/>
        </w:rPr>
      </w:pPr>
      <w:r>
        <w:rPr>
          <w:rFonts w:hint="eastAsia" w:ascii="仿宋" w:hAnsi="仿宋" w:eastAsia="仿宋" w:cs="仿宋"/>
        </w:rPr>
        <w:t>（二）政府采购情况</w:t>
      </w:r>
    </w:p>
    <w:p>
      <w:pPr>
        <w:pStyle w:val="4"/>
        <w:pageBreakBefore w:val="0"/>
        <w:kinsoku/>
        <w:wordWrap/>
        <w:overflowPunct/>
        <w:topLinePunct w:val="0"/>
        <w:autoSpaceDE/>
        <w:autoSpaceDN/>
        <w:bidi w:val="0"/>
        <w:spacing w:before="157" w:beforeLines="50" w:after="0" w:line="360" w:lineRule="auto"/>
        <w:ind w:firstLine="640" w:firstLineChars="200"/>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本部门2018年度政府采购支出总额113.1万元，从采购类型来看，政府采购货物支出0万元、政府采购工程支出0万元、政府采购服务支出 113.1万元。授予中小企业合同金113.1万元，占政府采购支出总额的100%，其中授予小微企业合同金额0万元，占政府采购支出总额的0%。</w:t>
      </w:r>
    </w:p>
    <w:p>
      <w:pPr>
        <w:widowControl/>
        <w:spacing w:after="0" w:line="580" w:lineRule="exact"/>
        <w:ind w:firstLine="643" w:firstLineChars="200"/>
        <w:jc w:val="left"/>
        <w:rPr>
          <w:rFonts w:ascii="仿宋" w:hAnsi="仿宋" w:eastAsia="仿宋" w:cs="仿宋"/>
          <w:b/>
          <w:bCs/>
          <w:sz w:val="32"/>
          <w:szCs w:val="32"/>
        </w:rPr>
      </w:pPr>
      <w:r>
        <w:rPr>
          <w:rFonts w:hint="eastAsia" w:ascii="仿宋" w:hAnsi="仿宋" w:eastAsia="仿宋" w:cs="仿宋"/>
          <w:b/>
          <w:bCs/>
          <w:sz w:val="32"/>
          <w:szCs w:val="32"/>
        </w:rPr>
        <w:t>（三）国有资产占用情况</w:t>
      </w:r>
    </w:p>
    <w:p>
      <w:pPr>
        <w:pStyle w:val="4"/>
        <w:pageBreakBefore w:val="0"/>
        <w:numPr>
          <w:ilvl w:val="0"/>
          <w:numId w:val="0"/>
        </w:numPr>
        <w:kinsoku/>
        <w:wordWrap/>
        <w:overflowPunct/>
        <w:topLinePunct w:val="0"/>
        <w:autoSpaceDE/>
        <w:autoSpaceDN/>
        <w:bidi w:val="0"/>
        <w:spacing w:before="157" w:beforeLines="50" w:after="0" w:line="360" w:lineRule="auto"/>
        <w:ind w:leftChars="200" w:firstLine="640" w:firstLineChars="200"/>
        <w:rPr>
          <w:rFonts w:ascii="仿宋" w:hAnsi="仿宋" w:eastAsia="仿宋" w:cs="仿宋"/>
          <w:color w:val="000000"/>
          <w:kern w:val="0"/>
          <w:sz w:val="32"/>
          <w:szCs w:val="32"/>
        </w:rPr>
      </w:pPr>
      <w:r>
        <w:rPr>
          <w:rFonts w:hint="eastAsia" w:ascii="仿宋" w:hAnsi="仿宋" w:eastAsia="仿宋" w:cs="仿宋"/>
          <w:b w:val="0"/>
          <w:bCs w:val="0"/>
          <w:sz w:val="32"/>
          <w:szCs w:val="32"/>
        </w:rPr>
        <w:t>截至2018年12月31日，本部门共有车辆</w:t>
      </w:r>
      <w:r>
        <w:rPr>
          <w:rFonts w:hint="eastAsia" w:ascii="仿宋" w:hAnsi="仿宋" w:eastAsia="仿宋" w:cs="仿宋"/>
          <w:b w:val="0"/>
          <w:bCs w:val="0"/>
          <w:sz w:val="32"/>
          <w:szCs w:val="32"/>
          <w:lang w:val="en-US" w:eastAsia="zh-CN"/>
        </w:rPr>
        <w:t>3</w:t>
      </w:r>
      <w:r>
        <w:rPr>
          <w:rFonts w:hint="eastAsia" w:ascii="仿宋" w:hAnsi="仿宋" w:eastAsia="仿宋" w:cs="仿宋"/>
          <w:b w:val="0"/>
          <w:bCs w:val="0"/>
          <w:sz w:val="32"/>
          <w:szCs w:val="32"/>
        </w:rPr>
        <w:t>辆。比上年增加（减少）0辆</w:t>
      </w:r>
      <w:r>
        <w:rPr>
          <w:rFonts w:hint="eastAsia" w:ascii="仿宋" w:hAnsi="仿宋" w:eastAsia="仿宋" w:cs="仿宋"/>
          <w:b w:val="0"/>
          <w:bCs w:val="0"/>
          <w:sz w:val="32"/>
          <w:szCs w:val="32"/>
          <w:lang w:eastAsia="zh-CN"/>
        </w:rPr>
        <w:t>，主要是无公车购置情况</w:t>
      </w:r>
      <w:r>
        <w:rPr>
          <w:rFonts w:hint="eastAsia" w:ascii="仿宋_GB2312" w:eastAsia="仿宋_GB2312" w:cs="DengXian-Regular"/>
          <w:sz w:val="32"/>
          <w:szCs w:val="32"/>
          <w:lang w:eastAsia="zh-CN"/>
        </w:rPr>
        <w:t>。</w:t>
      </w:r>
      <w:r>
        <w:rPr>
          <w:rFonts w:hint="eastAsia" w:ascii="仿宋" w:hAnsi="仿宋" w:eastAsia="仿宋" w:cs="仿宋"/>
          <w:b w:val="0"/>
          <w:bCs w:val="0"/>
          <w:sz w:val="32"/>
          <w:szCs w:val="32"/>
        </w:rPr>
        <w:t>其中，副部（省）级及以上领导用车</w:t>
      </w:r>
      <w:r>
        <w:rPr>
          <w:rFonts w:hint="eastAsia" w:ascii="仿宋" w:hAnsi="仿宋" w:eastAsia="仿宋" w:cs="仿宋"/>
          <w:b w:val="0"/>
          <w:bCs w:val="0"/>
          <w:sz w:val="32"/>
          <w:szCs w:val="32"/>
          <w:lang w:val="en-US" w:eastAsia="zh-CN"/>
        </w:rPr>
        <w:t>0</w:t>
      </w:r>
      <w:r>
        <w:rPr>
          <w:rFonts w:hint="eastAsia" w:ascii="仿宋" w:hAnsi="仿宋" w:eastAsia="仿宋" w:cs="仿宋"/>
          <w:b w:val="0"/>
          <w:bCs w:val="0"/>
          <w:sz w:val="32"/>
          <w:szCs w:val="32"/>
        </w:rPr>
        <w:t>辆，主要领导干部用车</w:t>
      </w:r>
      <w:r>
        <w:rPr>
          <w:rFonts w:hint="eastAsia" w:ascii="仿宋" w:hAnsi="仿宋" w:eastAsia="仿宋" w:cs="仿宋"/>
          <w:b w:val="0"/>
          <w:bCs w:val="0"/>
          <w:sz w:val="32"/>
          <w:szCs w:val="32"/>
          <w:lang w:val="en-US" w:eastAsia="zh-CN"/>
        </w:rPr>
        <w:t>0</w:t>
      </w:r>
      <w:r>
        <w:rPr>
          <w:rFonts w:hint="eastAsia" w:ascii="仿宋" w:hAnsi="仿宋" w:eastAsia="仿宋" w:cs="仿宋"/>
          <w:b w:val="0"/>
          <w:bCs w:val="0"/>
          <w:sz w:val="32"/>
          <w:szCs w:val="32"/>
        </w:rPr>
        <w:t>辆，机要通信用车</w:t>
      </w:r>
      <w:r>
        <w:rPr>
          <w:rFonts w:hint="eastAsia" w:ascii="仿宋" w:hAnsi="仿宋" w:eastAsia="仿宋" w:cs="仿宋"/>
          <w:b w:val="0"/>
          <w:bCs w:val="0"/>
          <w:sz w:val="32"/>
          <w:szCs w:val="32"/>
          <w:lang w:val="en-US" w:eastAsia="zh-CN"/>
        </w:rPr>
        <w:t>0</w:t>
      </w:r>
      <w:r>
        <w:rPr>
          <w:rFonts w:hint="eastAsia" w:ascii="仿宋" w:hAnsi="仿宋" w:eastAsia="仿宋" w:cs="仿宋"/>
          <w:b w:val="0"/>
          <w:bCs w:val="0"/>
          <w:sz w:val="32"/>
          <w:szCs w:val="32"/>
        </w:rPr>
        <w:t>辆，应急保障用车</w:t>
      </w:r>
      <w:r>
        <w:rPr>
          <w:rFonts w:hint="eastAsia" w:ascii="仿宋" w:hAnsi="仿宋" w:eastAsia="仿宋" w:cs="仿宋"/>
          <w:b w:val="0"/>
          <w:bCs w:val="0"/>
          <w:sz w:val="32"/>
          <w:szCs w:val="32"/>
          <w:lang w:val="en-US" w:eastAsia="zh-CN"/>
        </w:rPr>
        <w:t>0</w:t>
      </w:r>
      <w:r>
        <w:rPr>
          <w:rFonts w:hint="eastAsia" w:ascii="仿宋" w:hAnsi="仿宋" w:eastAsia="仿宋" w:cs="仿宋"/>
          <w:b w:val="0"/>
          <w:bCs w:val="0"/>
          <w:sz w:val="32"/>
          <w:szCs w:val="32"/>
        </w:rPr>
        <w:t>辆，执法执勤用车</w:t>
      </w:r>
      <w:r>
        <w:rPr>
          <w:rFonts w:hint="eastAsia" w:ascii="仿宋" w:hAnsi="仿宋" w:eastAsia="仿宋" w:cs="仿宋"/>
          <w:b w:val="0"/>
          <w:bCs w:val="0"/>
          <w:sz w:val="32"/>
          <w:szCs w:val="32"/>
          <w:lang w:val="en-US" w:eastAsia="zh-CN"/>
        </w:rPr>
        <w:t>0</w:t>
      </w:r>
      <w:r>
        <w:rPr>
          <w:rFonts w:hint="eastAsia" w:ascii="仿宋" w:hAnsi="仿宋" w:eastAsia="仿宋" w:cs="仿宋"/>
          <w:b w:val="0"/>
          <w:bCs w:val="0"/>
          <w:sz w:val="32"/>
          <w:szCs w:val="32"/>
        </w:rPr>
        <w:t>辆，特种专业技术用车</w:t>
      </w:r>
      <w:r>
        <w:rPr>
          <w:rFonts w:hint="eastAsia" w:ascii="仿宋" w:hAnsi="仿宋" w:eastAsia="仿宋" w:cs="仿宋"/>
          <w:b w:val="0"/>
          <w:bCs w:val="0"/>
          <w:sz w:val="32"/>
          <w:szCs w:val="32"/>
          <w:lang w:val="en-US" w:eastAsia="zh-CN"/>
        </w:rPr>
        <w:t>0</w:t>
      </w:r>
      <w:r>
        <w:rPr>
          <w:rFonts w:hint="eastAsia" w:ascii="仿宋" w:hAnsi="仿宋" w:eastAsia="仿宋" w:cs="仿宋"/>
          <w:b w:val="0"/>
          <w:bCs w:val="0"/>
          <w:sz w:val="32"/>
          <w:szCs w:val="32"/>
        </w:rPr>
        <w:t>辆，离退休干部用车</w:t>
      </w:r>
      <w:r>
        <w:rPr>
          <w:rFonts w:hint="eastAsia" w:ascii="仿宋" w:hAnsi="仿宋" w:eastAsia="仿宋" w:cs="仿宋"/>
          <w:b w:val="0"/>
          <w:bCs w:val="0"/>
          <w:sz w:val="32"/>
          <w:szCs w:val="32"/>
          <w:lang w:val="en-US" w:eastAsia="zh-CN"/>
        </w:rPr>
        <w:t>0</w:t>
      </w:r>
      <w:r>
        <w:rPr>
          <w:rFonts w:hint="eastAsia" w:ascii="仿宋" w:hAnsi="仿宋" w:eastAsia="仿宋" w:cs="仿宋"/>
          <w:b w:val="0"/>
          <w:bCs w:val="0"/>
          <w:sz w:val="32"/>
          <w:szCs w:val="32"/>
        </w:rPr>
        <w:t>辆，其他用车</w:t>
      </w:r>
      <w:r>
        <w:rPr>
          <w:rFonts w:hint="eastAsia" w:ascii="仿宋" w:hAnsi="仿宋" w:eastAsia="仿宋" w:cs="仿宋"/>
          <w:b w:val="0"/>
          <w:bCs w:val="0"/>
          <w:sz w:val="32"/>
          <w:szCs w:val="32"/>
          <w:lang w:val="en-US" w:eastAsia="zh-CN"/>
        </w:rPr>
        <w:t>3</w:t>
      </w:r>
      <w:r>
        <w:rPr>
          <w:rFonts w:hint="eastAsia" w:ascii="仿宋" w:hAnsi="仿宋" w:eastAsia="仿宋" w:cs="仿宋"/>
          <w:b w:val="0"/>
          <w:bCs w:val="0"/>
          <w:sz w:val="32"/>
          <w:szCs w:val="32"/>
        </w:rPr>
        <w:t>辆；单位价值50万元以上通用设备</w:t>
      </w:r>
      <w:r>
        <w:rPr>
          <w:rFonts w:hint="eastAsia" w:ascii="仿宋" w:hAnsi="仿宋" w:eastAsia="仿宋" w:cs="仿宋"/>
          <w:b w:val="0"/>
          <w:bCs w:val="0"/>
          <w:sz w:val="32"/>
          <w:szCs w:val="32"/>
          <w:lang w:val="en-US" w:eastAsia="zh-CN"/>
        </w:rPr>
        <w:t>0</w:t>
      </w:r>
      <w:r>
        <w:rPr>
          <w:rFonts w:hint="eastAsia" w:ascii="仿宋" w:hAnsi="仿宋" w:eastAsia="仿宋" w:cs="仿宋"/>
          <w:b w:val="0"/>
          <w:bCs w:val="0"/>
          <w:sz w:val="32"/>
          <w:szCs w:val="32"/>
        </w:rPr>
        <w:t>台（套），</w:t>
      </w:r>
      <w:r>
        <w:rPr>
          <w:rFonts w:hint="eastAsia" w:ascii="仿宋" w:hAnsi="仿宋" w:eastAsia="仿宋" w:cs="仿宋"/>
          <w:b w:val="0"/>
          <w:bCs w:val="0"/>
          <w:sz w:val="32"/>
          <w:szCs w:val="32"/>
          <w:lang w:val="en-US" w:eastAsia="zh-CN"/>
        </w:rPr>
        <w:t>比上年增加（减少）0套，主要是无公车购置情况 ，单位价值100万元以上专用设备0台（套），比上年增加（减少）0套，主要是无公车购置情况 。</w:t>
      </w:r>
    </w:p>
    <w:p>
      <w:pPr>
        <w:pStyle w:val="4"/>
        <w:spacing w:before="0" w:after="0" w:line="580" w:lineRule="exact"/>
        <w:ind w:firstLine="643" w:firstLineChars="200"/>
        <w:rPr>
          <w:rFonts w:ascii="仿宋" w:hAnsi="仿宋" w:eastAsia="仿宋" w:cs="仿宋"/>
        </w:rPr>
      </w:pPr>
      <w:r>
        <w:rPr>
          <w:rFonts w:hint="eastAsia" w:ascii="仿宋" w:hAnsi="仿宋" w:eastAsia="仿宋" w:cs="仿宋"/>
        </w:rPr>
        <w:t>（四）其他需要说明的情况</w:t>
      </w:r>
    </w:p>
    <w:p>
      <w:pPr>
        <w:adjustRightInd w:val="0"/>
        <w:snapToGrid w:val="0"/>
        <w:spacing w:after="0" w:line="560" w:lineRule="exact"/>
        <w:ind w:firstLine="640" w:firstLineChars="200"/>
        <w:rPr>
          <w:rFonts w:ascii="仿宋" w:hAnsi="仿宋" w:eastAsia="仿宋" w:cs="仿宋"/>
          <w:sz w:val="32"/>
          <w:szCs w:val="32"/>
        </w:rPr>
      </w:pPr>
      <w:r>
        <w:rPr>
          <w:rFonts w:hint="eastAsia" w:ascii="仿宋" w:hAnsi="仿宋" w:eastAsia="仿宋" w:cs="仿宋"/>
          <w:sz w:val="32"/>
          <w:szCs w:val="32"/>
        </w:rPr>
        <w:t>1、本部门2018年度政府性基金预算财政拨款收入支出决算表、国有资本经营预算财政拨款收入支出决算表无收支及结转结余情况，故此二表以空表列示。</w:t>
      </w:r>
    </w:p>
    <w:p>
      <w:pPr>
        <w:adjustRightInd w:val="0"/>
        <w:snapToGrid w:val="0"/>
        <w:spacing w:after="0" w:line="560" w:lineRule="exact"/>
        <w:ind w:firstLine="640" w:firstLineChars="200"/>
        <w:rPr>
          <w:rFonts w:ascii="仿宋" w:hAnsi="仿宋" w:eastAsia="仿宋" w:cs="仿宋"/>
          <w:sz w:val="32"/>
          <w:szCs w:val="32"/>
        </w:rPr>
      </w:pPr>
      <w:r>
        <w:rPr>
          <w:rFonts w:hint="eastAsia" w:ascii="仿宋" w:hAnsi="仿宋" w:eastAsia="仿宋" w:cs="仿宋"/>
          <w:sz w:val="32"/>
          <w:szCs w:val="32"/>
        </w:rPr>
        <w:t>2、由于决算公开表格中金额数值应当保留两位小数，公开数据为四舍五入计算结</w:t>
      </w:r>
      <w:r>
        <w:rPr>
          <w:rFonts w:ascii="仿宋" w:hAnsi="仿宋" w:eastAsia="仿宋" w:cs="仿宋"/>
          <w:sz w:val="44"/>
        </w:rPr>
        <w:pict>
          <v:group id="_x0000_s1037" o:spid="_x0000_s1037" o:spt="203" style="position:absolute;left:0pt;margin-left:-0.55pt;margin-top:29.3pt;height:43.95pt;width:301.85pt;mso-position-horizontal-relative:page;mso-position-vertical-relative:page;z-index:251678720;mso-width-relative:page;mso-height-relative:page;" coordorigin="45,526" coordsize="85,13982" o:gfxdata="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">
            <o:lock v:ext="edit"/>
            <v:rect id="矩形 13" o:spid="_x0000_s1039" o:spt="1" style="position:absolute;left:45;top:526;height:11;width:85;v-text-anchor:middle;" fillcolor="#B8B8B8" filled="t" stroked="f" coordsize="21600,21600" o:gfxdata="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bwu/r4A&#10;AADbAAAADwAAAAAAAAABACAAAAAiAAAAZHJzL2Rvd25yZXYueG1sUEsBAhQAFAAAAAgAh07iQDMv&#10;BZ47AAAAOQAAABAAAAAAAAAAAQAgAAAADQEAAGRycy9zaGFwZXhtbC54bWxQSwUGAAAAAAYABgBb&#10;AQAAtwMAAAAA&#10;">
              <v:path/>
              <v:fill on="t" focussize="0,0"/>
              <v:stroke on="f" weight="2pt"/>
              <v:imagedata o:title=""/>
              <o:lock v:ext="edit"/>
            </v:rect>
            <v:rect id="_x0000_s1038" o:spid="_x0000_s1038" o:spt="1" style="position:absolute;left:45;top:528;height:12;width:84;v-text-anchor:middle;" fillcolor="#AD002D" filled="t" stroked="t" coordsize="21600,21600" o:gfxdata="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ZVh3r4A&#10;AADbAAAADwAAAAAAAAABACAAAAAiAAAAZHJzL2Rvd25yZXYueG1sUEsBAhQAFAAAAAgAh07iQDMv&#10;BZ47AAAAOQAAABAAAAAAAAAAAQAgAAAADQEAAGRycy9zaGFwZXhtbC54bWxQSwUGAAAAAAYABgBb&#10;AQAAtwMAAAAA&#10;">
              <v:path/>
              <v:fill on="t" focussize="0,0"/>
              <v:stroke weight="2pt" color="#805514"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仿宋" w:hAnsi="仿宋" w:eastAsia="仿宋" w:cs="仿宋"/>
          <w:sz w:val="32"/>
          <w:szCs w:val="32"/>
        </w:rPr>
        <w:t>果，个别数据合计项与分项之和存在小数点后差额，特此说明。</w:t>
      </w:r>
    </w:p>
    <w:p>
      <w:pPr>
        <w:adjustRightInd w:val="0"/>
        <w:snapToGrid w:val="0"/>
        <w:spacing w:after="0" w:line="580" w:lineRule="exact"/>
        <w:ind w:firstLine="640" w:firstLineChars="200"/>
        <w:rPr>
          <w:rFonts w:ascii="仿宋" w:hAnsi="仿宋" w:eastAsia="仿宋" w:cs="仿宋"/>
          <w:sz w:val="32"/>
          <w:szCs w:val="32"/>
        </w:rPr>
      </w:pPr>
    </w:p>
    <w:p>
      <w:pPr>
        <w:widowControl/>
        <w:spacing w:after="0" w:line="580" w:lineRule="exact"/>
        <w:ind w:firstLine="883" w:firstLineChars="200"/>
        <w:jc w:val="left"/>
        <w:rPr>
          <w:rFonts w:ascii="仿宋" w:hAnsi="仿宋" w:eastAsia="仿宋" w:cs="仿宋"/>
          <w:b/>
          <w:bCs/>
          <w:kern w:val="0"/>
          <w:sz w:val="44"/>
          <w:szCs w:val="44"/>
        </w:rPr>
        <w:sectPr>
          <w:pgSz w:w="11906" w:h="16838"/>
          <w:pgMar w:top="2098" w:right="1474" w:bottom="1984" w:left="1588" w:header="851" w:footer="992" w:gutter="0"/>
          <w:cols w:space="0" w:num="1"/>
          <w:docGrid w:type="lines" w:linePitch="312" w:charSpace="0"/>
        </w:sect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8480"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2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1"/>
                    </pic:cNvPicPr>
                  </pic:nvPicPr>
                  <pic:blipFill>
                    <a:blip r:embed="rId7" cstate="print"/>
                    <a:stretch>
                      <a:fillRect/>
                    </a:stretch>
                  </pic:blipFill>
                  <pic:spPr>
                    <a:xfrm>
                      <a:off x="0" y="0"/>
                      <a:ext cx="7550150" cy="10680065"/>
                    </a:xfrm>
                    <a:prstGeom prst="rect">
                      <a:avLst/>
                    </a:prstGeom>
                  </pic:spPr>
                </pic:pic>
              </a:graphicData>
            </a:graphic>
          </wp:anchor>
        </w:drawing>
      </w:r>
      <w:r>
        <w:rPr>
          <w:sz w:val="72"/>
        </w:rPr>
        <w:pict>
          <v:shape id="_x0000_s1036" o:spid="_x0000_s1036" o:spt="202" type="#_x0000_t202" style="position:absolute;left:0pt;margin-left:-78.7pt;margin-top:232.8pt;height:159.1pt;width:596.2pt;z-index:251667456;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第四部分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名词解释</w:t>
                  </w:r>
                </w:p>
              </w:txbxContent>
            </v:textbox>
          </v:shape>
        </w:pict>
      </w:r>
    </w:p>
    <w:p>
      <w:pPr>
        <w:widowControl/>
        <w:spacing w:after="0" w:line="560" w:lineRule="exact"/>
        <w:ind w:firstLine="643" w:firstLineChars="200"/>
        <w:rPr>
          <w:rFonts w:ascii="仿宋" w:hAnsi="仿宋" w:eastAsia="仿宋" w:cs="仿宋"/>
          <w:color w:val="000000"/>
          <w:kern w:val="0"/>
          <w:sz w:val="32"/>
          <w:szCs w:val="32"/>
        </w:rPr>
      </w:pPr>
      <w:r>
        <w:rPr>
          <w:rFonts w:hint="eastAsia" w:ascii="仿宋" w:hAnsi="仿宋" w:eastAsia="仿宋" w:cs="仿宋"/>
          <w:b/>
          <w:bCs/>
          <w:color w:val="000000"/>
          <w:kern w:val="0"/>
          <w:sz w:val="32"/>
          <w:szCs w:val="32"/>
        </w:rPr>
        <w:t>（一）财政拨款收入：</w:t>
      </w:r>
      <w:r>
        <w:rPr>
          <w:rFonts w:hint="eastAsia" w:ascii="仿宋" w:hAnsi="仿宋" w:eastAsia="仿宋" w:cs="仿宋"/>
          <w:color w:val="000000"/>
          <w:kern w:val="0"/>
          <w:sz w:val="32"/>
          <w:szCs w:val="32"/>
        </w:rPr>
        <w:t>本年度从本级财政部门取得的财政拨款，包括一般公共预算财政拨款和政府性基金预算财政拨款。</w:t>
      </w:r>
    </w:p>
    <w:p>
      <w:pPr>
        <w:widowControl/>
        <w:spacing w:after="0" w:line="560" w:lineRule="exact"/>
        <w:ind w:firstLine="643" w:firstLineChars="200"/>
        <w:rPr>
          <w:rFonts w:ascii="仿宋" w:hAnsi="仿宋" w:eastAsia="仿宋" w:cs="仿宋"/>
          <w:color w:val="000000"/>
          <w:kern w:val="0"/>
          <w:sz w:val="32"/>
          <w:szCs w:val="32"/>
        </w:rPr>
      </w:pPr>
      <w:r>
        <w:rPr>
          <w:rFonts w:hint="eastAsia" w:ascii="仿宋" w:hAnsi="仿宋" w:eastAsia="仿宋" w:cs="仿宋"/>
          <w:b/>
          <w:bCs/>
          <w:color w:val="000000"/>
          <w:kern w:val="0"/>
          <w:sz w:val="32"/>
          <w:szCs w:val="32"/>
        </w:rPr>
        <w:t>（二）事业收入：</w:t>
      </w:r>
      <w:r>
        <w:rPr>
          <w:rFonts w:hint="eastAsia" w:ascii="仿宋" w:hAnsi="仿宋" w:eastAsia="仿宋" w:cs="仿宋"/>
          <w:color w:val="000000"/>
          <w:kern w:val="0"/>
          <w:sz w:val="32"/>
          <w:szCs w:val="32"/>
        </w:rPr>
        <w:t>指事业单位开展专业业务活动及辅助活动所取得的收入。</w:t>
      </w:r>
    </w:p>
    <w:p>
      <w:pPr>
        <w:widowControl/>
        <w:spacing w:after="0" w:line="560" w:lineRule="exact"/>
        <w:ind w:firstLine="643" w:firstLineChars="200"/>
        <w:rPr>
          <w:rFonts w:ascii="仿宋" w:hAnsi="仿宋" w:eastAsia="仿宋" w:cs="仿宋"/>
          <w:color w:val="000000"/>
          <w:kern w:val="0"/>
          <w:sz w:val="32"/>
          <w:szCs w:val="32"/>
        </w:rPr>
      </w:pPr>
      <w:r>
        <w:rPr>
          <w:rFonts w:hint="eastAsia" w:ascii="仿宋" w:hAnsi="仿宋" w:eastAsia="仿宋" w:cs="仿宋"/>
          <w:b/>
          <w:bCs/>
          <w:color w:val="000000"/>
          <w:kern w:val="0"/>
          <w:sz w:val="32"/>
          <w:szCs w:val="32"/>
        </w:rPr>
        <w:t>（三）其他收入：</w:t>
      </w:r>
      <w:r>
        <w:rPr>
          <w:rFonts w:hint="eastAsia" w:ascii="仿宋" w:hAnsi="仿宋" w:eastAsia="仿宋" w:cs="仿宋"/>
          <w:color w:val="000000"/>
          <w:kern w:val="0"/>
          <w:sz w:val="32"/>
          <w:szCs w:val="32"/>
        </w:rPr>
        <w:t>指除上述“财政拨款收入”“事业收入”“经营收入”等以外的收入。</w:t>
      </w:r>
    </w:p>
    <w:p>
      <w:pPr>
        <w:widowControl/>
        <w:spacing w:after="0" w:line="560" w:lineRule="exact"/>
        <w:ind w:firstLine="643" w:firstLineChars="200"/>
        <w:rPr>
          <w:rFonts w:ascii="仿宋" w:hAnsi="仿宋" w:eastAsia="仿宋" w:cs="仿宋"/>
          <w:color w:val="000000"/>
          <w:kern w:val="0"/>
          <w:sz w:val="32"/>
          <w:szCs w:val="32"/>
        </w:rPr>
      </w:pPr>
      <w:r>
        <w:rPr>
          <w:rFonts w:hint="eastAsia" w:ascii="仿宋" w:hAnsi="仿宋" w:eastAsia="仿宋" w:cs="仿宋"/>
          <w:b/>
          <w:bCs/>
          <w:color w:val="000000"/>
          <w:kern w:val="0"/>
          <w:sz w:val="32"/>
          <w:szCs w:val="32"/>
        </w:rPr>
        <w:t>（四）用事业基金弥补收支差额：</w:t>
      </w:r>
      <w:r>
        <w:rPr>
          <w:rFonts w:hint="eastAsia" w:ascii="仿宋" w:hAnsi="仿宋" w:eastAsia="仿宋" w:cs="仿宋"/>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3" w:firstLineChars="200"/>
        <w:rPr>
          <w:rFonts w:ascii="仿宋" w:hAnsi="仿宋" w:eastAsia="仿宋" w:cs="仿宋"/>
          <w:color w:val="000000"/>
          <w:kern w:val="0"/>
          <w:sz w:val="32"/>
          <w:szCs w:val="32"/>
        </w:rPr>
      </w:pPr>
      <w:r>
        <w:rPr>
          <w:rFonts w:hint="eastAsia" w:ascii="仿宋" w:hAnsi="仿宋" w:eastAsia="仿宋" w:cs="仿宋"/>
          <w:b/>
          <w:bCs/>
          <w:color w:val="000000"/>
          <w:kern w:val="0"/>
          <w:sz w:val="32"/>
          <w:szCs w:val="32"/>
        </w:rPr>
        <w:t>（五）年初结转和结余：</w:t>
      </w:r>
      <w:r>
        <w:rPr>
          <w:rFonts w:hint="eastAsia" w:ascii="仿宋" w:hAnsi="仿宋" w:eastAsia="仿宋" w:cs="仿宋"/>
          <w:color w:val="000000"/>
          <w:kern w:val="0"/>
          <w:sz w:val="32"/>
          <w:szCs w:val="32"/>
        </w:rPr>
        <w:t>指以前年度尚未完成、结转到本年仍按原规定用途继续使用的资金，或项目已完成等产生的结余资金。</w:t>
      </w:r>
    </w:p>
    <w:p>
      <w:pPr>
        <w:widowControl/>
        <w:spacing w:after="0" w:line="560" w:lineRule="exact"/>
        <w:ind w:firstLine="643" w:firstLineChars="200"/>
        <w:rPr>
          <w:rFonts w:ascii="仿宋" w:hAnsi="仿宋" w:eastAsia="仿宋" w:cs="仿宋"/>
          <w:color w:val="000000"/>
          <w:kern w:val="0"/>
          <w:sz w:val="32"/>
          <w:szCs w:val="32"/>
        </w:rPr>
      </w:pPr>
      <w:r>
        <w:rPr>
          <w:rFonts w:hint="eastAsia" w:ascii="仿宋" w:hAnsi="仿宋" w:eastAsia="仿宋" w:cs="仿宋"/>
          <w:b/>
          <w:bCs/>
          <w:color w:val="000000"/>
          <w:kern w:val="0"/>
          <w:sz w:val="32"/>
          <w:szCs w:val="32"/>
        </w:rPr>
        <w:t>（六）结余分配：</w:t>
      </w:r>
      <w:r>
        <w:rPr>
          <w:rFonts w:hint="eastAsia" w:ascii="仿宋" w:hAnsi="仿宋" w:eastAsia="仿宋" w:cs="仿宋"/>
          <w:color w:val="000000"/>
          <w:kern w:val="0"/>
          <w:sz w:val="32"/>
          <w:szCs w:val="32"/>
        </w:rPr>
        <w:t>指事业单位按照事业单位会计制度的规定从非财政补助结余中分配的事业基金和职工福利基金等。</w:t>
      </w:r>
    </w:p>
    <w:p>
      <w:pPr>
        <w:widowControl/>
        <w:spacing w:after="0" w:line="560" w:lineRule="exact"/>
        <w:ind w:firstLine="643" w:firstLineChars="200"/>
        <w:rPr>
          <w:rFonts w:ascii="仿宋" w:hAnsi="仿宋" w:eastAsia="仿宋" w:cs="仿宋"/>
          <w:color w:val="000000"/>
          <w:kern w:val="0"/>
          <w:sz w:val="32"/>
          <w:szCs w:val="32"/>
        </w:rPr>
      </w:pPr>
      <w:r>
        <w:rPr>
          <w:rFonts w:hint="eastAsia" w:ascii="仿宋" w:hAnsi="仿宋" w:eastAsia="仿宋" w:cs="仿宋"/>
          <w:b/>
          <w:bCs/>
          <w:color w:val="000000"/>
          <w:kern w:val="0"/>
          <w:sz w:val="32"/>
          <w:szCs w:val="32"/>
        </w:rPr>
        <w:t>（七）年末结转和结</w:t>
      </w:r>
      <w:r>
        <w:rPr>
          <w:rFonts w:ascii="仿宋" w:hAnsi="仿宋" w:eastAsia="仿宋" w:cs="仿宋"/>
          <w:b/>
          <w:bCs/>
          <w:color w:val="000000"/>
          <w:kern w:val="0"/>
          <w:sz w:val="32"/>
          <w:szCs w:val="32"/>
        </w:rPr>
        <w:pict>
          <v:group id="_x0000_s1033" o:spid="_x0000_s1033" o:spt="203" style="position:absolute;left:0pt;margin-left:-81.05pt;margin-top:39.65pt;height:43.95pt;width:264.85pt;mso-position-vertical-relative:page;z-index:251672576;mso-width-relative:page;mso-height-relative:page;" coordorigin="45,526" coordsize="85,13982"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">
            <o:lock v:ext="edit"/>
            <v:rect id="矩形 13" o:spid="_x0000_s1035" o:spt="1" style="position:absolute;left:45;top:526;height:11;width:85;v-text-anchor:middle;" fillcolor="#B8B8B8" filled="t" stroked="f" coordsize="21600,21600" o:gfxdata="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4wumv&#10;wAAAANwAAAAPAAAAAAAAAAEAIAAAACIAAABkcnMvZG93bnJldi54bWxQSwECFAAUAAAACACHTuJA&#10;My8FnjsAAAA5AAAAEAAAAAAAAAABACAAAAAPAQAAZHJzL3NoYXBleG1sLnhtbFBLBQYAAAAABgAG&#10;AFsBAAC5AwAAAAA=&#10;">
              <v:path/>
              <v:fill on="t" focussize="0,0"/>
              <v:stroke on="f" weight="2pt"/>
              <v:imagedata o:title=""/>
              <o:lock v:ext="edit"/>
            </v:rect>
            <v:rect id="矩形 14" o:spid="_x0000_s1034" o:spt="1" style="position:absolute;left:45;top:528;height:12;width:84;v-text-anchor:middle;" fillcolor="#AD002D" filled="t" stroked="t" coordsize="21600,21600" o:gfxdata="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L9Rm8AAAA&#10;3AAAAA8AAAAAAAAAAQAgAAAAIgAAAGRycy9kb3ducmV2LnhtbFBLAQIUABQAAAAIAIdO4kAzLwWe&#10;OwAAADkAAAAQAAAAAAAAAAEAIAAAAAsBAABkcnMvc2hhcGV4bWwueG1sUEsFBgAAAAAGAAYAWwEA&#10;ALUDAAAAAA==&#10;">
              <v:path/>
              <v:fill on="t" focussize="0,0"/>
              <v:stroke weight="2pt" color="#805514"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v:textbox>
            </v:rect>
            <w10:anchorlock/>
          </v:group>
        </w:pict>
      </w:r>
      <w:r>
        <w:rPr>
          <w:rFonts w:hint="eastAsia" w:ascii="仿宋" w:hAnsi="仿宋" w:eastAsia="仿宋" w:cs="仿宋"/>
          <w:b/>
          <w:bCs/>
          <w:color w:val="000000"/>
          <w:kern w:val="0"/>
          <w:sz w:val="32"/>
          <w:szCs w:val="32"/>
        </w:rPr>
        <w:t>余：</w:t>
      </w:r>
      <w:r>
        <w:rPr>
          <w:rFonts w:hint="eastAsia" w:ascii="仿宋" w:hAnsi="仿宋" w:eastAsia="仿宋" w:cs="仿宋"/>
          <w:color w:val="000000"/>
          <w:kern w:val="0"/>
          <w:sz w:val="32"/>
          <w:szCs w:val="32"/>
        </w:rPr>
        <w:t>指单位按有关规定结转到下年或以后年度继续使用的资金，或项目已完成等产生的结余资金。</w:t>
      </w:r>
    </w:p>
    <w:p>
      <w:pPr>
        <w:widowControl/>
        <w:spacing w:after="0" w:line="560" w:lineRule="exact"/>
        <w:ind w:firstLine="643" w:firstLineChars="200"/>
        <w:rPr>
          <w:rFonts w:ascii="仿宋" w:hAnsi="仿宋" w:eastAsia="仿宋" w:cs="仿宋"/>
          <w:color w:val="000000"/>
          <w:kern w:val="0"/>
          <w:sz w:val="32"/>
          <w:szCs w:val="32"/>
        </w:rPr>
      </w:pPr>
      <w:r>
        <w:rPr>
          <w:rFonts w:hint="eastAsia" w:ascii="仿宋" w:hAnsi="仿宋" w:eastAsia="仿宋" w:cs="仿宋"/>
          <w:b/>
          <w:bCs/>
          <w:color w:val="000000"/>
          <w:kern w:val="0"/>
          <w:sz w:val="32"/>
          <w:szCs w:val="32"/>
        </w:rPr>
        <w:t>（八）基本支出：</w:t>
      </w:r>
      <w:r>
        <w:rPr>
          <w:rFonts w:hint="eastAsia" w:ascii="仿宋" w:hAnsi="仿宋" w:eastAsia="仿宋" w:cs="仿宋"/>
          <w:color w:val="000000"/>
          <w:kern w:val="0"/>
          <w:sz w:val="32"/>
          <w:szCs w:val="32"/>
        </w:rPr>
        <w:t>填列单位为保障机构正常运转、完成日常工作任务而发生的各项支出。</w:t>
      </w:r>
    </w:p>
    <w:p>
      <w:pPr>
        <w:widowControl/>
        <w:spacing w:after="0" w:line="560" w:lineRule="exact"/>
        <w:ind w:firstLine="643" w:firstLineChars="200"/>
        <w:rPr>
          <w:rFonts w:ascii="仿宋" w:hAnsi="仿宋" w:eastAsia="仿宋" w:cs="仿宋"/>
          <w:color w:val="000000"/>
          <w:kern w:val="0"/>
          <w:sz w:val="32"/>
          <w:szCs w:val="32"/>
        </w:rPr>
      </w:pPr>
      <w:r>
        <w:rPr>
          <w:rFonts w:hint="eastAsia" w:ascii="仿宋" w:hAnsi="仿宋" w:eastAsia="仿宋" w:cs="仿宋"/>
          <w:b/>
          <w:bCs/>
          <w:color w:val="000000"/>
          <w:kern w:val="0"/>
          <w:sz w:val="32"/>
          <w:szCs w:val="32"/>
        </w:rPr>
        <w:t>（九）项目支出：</w:t>
      </w:r>
      <w:r>
        <w:rPr>
          <w:rFonts w:hint="eastAsia" w:ascii="仿宋" w:hAnsi="仿宋" w:eastAsia="仿宋" w:cs="仿宋"/>
          <w:color w:val="000000"/>
          <w:kern w:val="0"/>
          <w:sz w:val="32"/>
          <w:szCs w:val="32"/>
        </w:rPr>
        <w:t>填列单位为完成特定的行政工作任务或事业发展目标，在基本支出之外发生的各项支出</w:t>
      </w:r>
    </w:p>
    <w:p>
      <w:pPr>
        <w:widowControl/>
        <w:spacing w:after="0" w:line="560" w:lineRule="exact"/>
        <w:ind w:firstLine="643" w:firstLineChars="200"/>
        <w:rPr>
          <w:rFonts w:ascii="仿宋" w:hAnsi="仿宋" w:eastAsia="仿宋" w:cs="仿宋"/>
          <w:color w:val="000000"/>
          <w:kern w:val="0"/>
          <w:sz w:val="32"/>
          <w:szCs w:val="32"/>
        </w:rPr>
      </w:pPr>
      <w:r>
        <w:rPr>
          <w:rFonts w:hint="eastAsia" w:ascii="仿宋" w:hAnsi="仿宋" w:eastAsia="仿宋" w:cs="仿宋"/>
          <w:b/>
          <w:bCs/>
          <w:color w:val="000000"/>
          <w:kern w:val="0"/>
          <w:sz w:val="32"/>
          <w:szCs w:val="32"/>
        </w:rPr>
        <w:t>（十）资本性支出（基本建设）：</w:t>
      </w:r>
      <w:r>
        <w:rPr>
          <w:rFonts w:hint="eastAsia" w:ascii="仿宋" w:hAnsi="仿宋" w:eastAsia="仿宋" w:cs="仿宋"/>
          <w:color w:val="000000"/>
          <w:kern w:val="0"/>
          <w:sz w:val="32"/>
          <w:szCs w:val="32"/>
        </w:rPr>
        <w:t>填列切块由发展改革部门安排的基本建设支出，对企业补助支出不在此科目反映。</w:t>
      </w:r>
    </w:p>
    <w:p>
      <w:pPr>
        <w:widowControl/>
        <w:spacing w:after="0" w:line="560" w:lineRule="exact"/>
        <w:ind w:firstLine="643" w:firstLineChars="200"/>
        <w:rPr>
          <w:rFonts w:ascii="仿宋" w:hAnsi="仿宋" w:eastAsia="仿宋" w:cs="仿宋"/>
          <w:color w:val="000000"/>
          <w:kern w:val="0"/>
          <w:sz w:val="32"/>
          <w:szCs w:val="32"/>
        </w:rPr>
      </w:pPr>
      <w:r>
        <w:rPr>
          <w:rFonts w:hint="eastAsia" w:ascii="仿宋" w:hAnsi="仿宋" w:eastAsia="仿宋" w:cs="仿宋"/>
          <w:b/>
          <w:bCs/>
          <w:color w:val="000000"/>
          <w:kern w:val="0"/>
          <w:sz w:val="32"/>
          <w:szCs w:val="32"/>
        </w:rPr>
        <w:t>（十一）资本性支出：</w:t>
      </w:r>
      <w:r>
        <w:rPr>
          <w:rFonts w:hint="eastAsia" w:ascii="仿宋" w:hAnsi="仿宋" w:eastAsia="仿宋" w:cs="仿宋"/>
          <w:color w:val="000000"/>
          <w:kern w:val="0"/>
          <w:sz w:val="32"/>
          <w:szCs w:val="32"/>
        </w:rPr>
        <w:t>填列各单位安排的资本性支出。切块由发展改革部门安排的基本建设支出不在此科目反映。</w:t>
      </w:r>
    </w:p>
    <w:p>
      <w:pPr>
        <w:widowControl/>
        <w:spacing w:after="0" w:line="560" w:lineRule="exact"/>
        <w:ind w:firstLine="643" w:firstLineChars="200"/>
        <w:rPr>
          <w:rFonts w:ascii="仿宋" w:hAnsi="仿宋" w:eastAsia="仿宋" w:cs="仿宋"/>
          <w:color w:val="000000"/>
          <w:kern w:val="0"/>
          <w:sz w:val="32"/>
          <w:szCs w:val="32"/>
        </w:rPr>
      </w:pPr>
      <w:r>
        <w:rPr>
          <w:rFonts w:hint="eastAsia" w:ascii="仿宋" w:hAnsi="仿宋" w:eastAsia="仿宋" w:cs="仿宋"/>
          <w:b/>
          <w:bCs/>
          <w:color w:val="000000"/>
          <w:kern w:val="0"/>
          <w:sz w:val="32"/>
          <w:szCs w:val="32"/>
        </w:rPr>
        <w:t>（十二）“三公”经费：</w:t>
      </w:r>
      <w:r>
        <w:rPr>
          <w:rFonts w:hint="eastAsia" w:ascii="仿宋" w:hAnsi="仿宋" w:eastAsia="仿宋" w:cs="仿宋"/>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w:t>
      </w:r>
      <w:r>
        <w:rPr>
          <w:rFonts w:ascii="仿宋" w:hAnsi="仿宋" w:eastAsia="仿宋" w:cs="仿宋"/>
          <w:b/>
          <w:bCs/>
          <w:color w:val="000000"/>
          <w:kern w:val="0"/>
          <w:sz w:val="32"/>
          <w:szCs w:val="32"/>
        </w:rPr>
        <w:pict>
          <v:group id="_x0000_s1030" o:spid="_x0000_s1030" o:spt="203" style="position:absolute;left:0pt;margin-left:-81.05pt;margin-top:39.65pt;height:43.95pt;width:264.85pt;mso-position-vertical-relative:page;z-index:251679744;mso-width-relative:page;mso-height-relative:page;" coordorigin="45,526" coordsize="85,13982"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">
            <o:lock v:ext="edit"/>
            <v:rect id="矩形 13" o:spid="_x0000_s1032" o:spt="1" style="position:absolute;left:45;top:526;height:11;width:85;v-text-anchor:middle;" fillcolor="#B8B8B8" filled="t" stroked="f" coordsize="21600,21600" o:gfxdata="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klW2ir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31" o:spt="1" style="position:absolute;left:45;top:528;height:12;width:84;v-text-anchor:middle;" fillcolor="#AD002D" filled="t" stroked="t" coordsize="21600,21600" o:gfxdata="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neLCRr4A&#10;AADbAAAADwAAAAAAAAABACAAAAAiAAAAZHJzL2Rvd25yZXYueG1sUEsBAhQAFAAAAAgAh07iQDMv&#10;BZ47AAAAOQAAABAAAAAAAAAAAQAgAAAADQEAAGRycy9zaGFwZXhtbC54bWxQSwUGAAAAAAYABgBb&#10;AQAAtwMAAAAA&#10;">
              <v:path/>
              <v:fill on="t" focussize="0,0"/>
              <v:stroke weight="2pt" color="#805514"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v:textbox>
            </v:rect>
            <w10:anchorlock/>
          </v:group>
        </w:pict>
      </w:r>
      <w:r>
        <w:rPr>
          <w:rFonts w:hint="eastAsia" w:ascii="仿宋" w:hAnsi="仿宋" w:eastAsia="仿宋" w:cs="仿宋"/>
          <w:color w:val="000000"/>
          <w:kern w:val="0"/>
          <w:sz w:val="32"/>
          <w:szCs w:val="32"/>
        </w:rPr>
        <w:t>待费反映单位按规定开支的各类公务接待（含外宾接待）支出。</w:t>
      </w:r>
    </w:p>
    <w:p>
      <w:pPr>
        <w:widowControl/>
        <w:spacing w:after="0" w:line="560" w:lineRule="exact"/>
        <w:ind w:firstLine="643" w:firstLineChars="200"/>
        <w:rPr>
          <w:rFonts w:ascii="仿宋" w:hAnsi="仿宋" w:eastAsia="仿宋" w:cs="仿宋"/>
          <w:color w:val="000000"/>
          <w:kern w:val="0"/>
          <w:sz w:val="32"/>
          <w:szCs w:val="32"/>
        </w:rPr>
      </w:pPr>
      <w:r>
        <w:rPr>
          <w:rFonts w:hint="eastAsia" w:ascii="仿宋" w:hAnsi="仿宋" w:eastAsia="仿宋" w:cs="仿宋"/>
          <w:b/>
          <w:bCs/>
          <w:color w:val="000000"/>
          <w:kern w:val="0"/>
          <w:sz w:val="32"/>
          <w:szCs w:val="32"/>
        </w:rPr>
        <w:t>（十三）其</w:t>
      </w:r>
      <w:r>
        <w:rPr>
          <w:rFonts w:ascii="仿宋" w:hAnsi="仿宋" w:eastAsia="仿宋" w:cs="仿宋"/>
          <w:b/>
          <w:bCs/>
          <w:color w:val="000000"/>
          <w:kern w:val="0"/>
          <w:sz w:val="32"/>
          <w:szCs w:val="32"/>
        </w:rPr>
        <w:pict>
          <v:group id="_x0000_s1027" o:spid="_x0000_s1027" o:spt="203" style="position:absolute;left:0pt;margin-left:-81.05pt;margin-top:39.65pt;height:43.95pt;width:264.85pt;mso-position-vertical-relative:page;z-index:251680768;mso-width-relative:page;mso-height-relative:page;" coordorigin="45,526" coordsize="85,13982"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">
            <o:lock v:ext="edit"/>
            <v:rect id="矩形 13" o:spid="_x0000_s1029" o:spt="1" style="position:absolute;left:45;top:526;height:11;width:85;v-text-anchor:middle;" fillcolor="#B8B8B8" filled="t" stroked="f" coordsize="21600,21600" o:gfxdata="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FQZFLsAAADb&#10;AAAADwAAAAAAAAABACAAAAAiAAAAZHJzL2Rvd25yZXYueG1sUEsBAhQAFAAAAAgAh07iQDMvBZ47&#10;AAAAOQAAABAAAAAAAAAAAQAgAAAACgEAAGRycy9zaGFwZXhtbC54bWxQSwUGAAAAAAYABgBbAQAA&#10;tAMAAAAA&#10;">
              <v:path/>
              <v:fill on="t" focussize="0,0"/>
              <v:stroke on="f" weight="2pt"/>
              <v:imagedata o:title=""/>
              <o:lock v:ext="edit"/>
            </v:rect>
            <v:rect id="矩形 14" o:spid="_x0000_s1028" o:spt="1" style="position:absolute;left:45;top:528;height:12;width:84;v-text-anchor:middle;" fillcolor="#AD002D" filled="t" stroked="t" coordsize="21600,21600" o:gfxdata="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Ox9VjS/&#10;AAAA2wAAAA8AAAAAAAAAAQAgAAAAIgAAAGRycy9kb3ducmV2LnhtbFBLAQIUABQAAAAIAIdO4kAz&#10;LwWeOwAAADkAAAAQAAAAAAAAAAEAIAAAAA4BAABkcnMvc2hhcGV4bWwueG1sUEsFBgAAAAAGAAYA&#10;WwEAALgDAAAAAA==&#10;">
              <v:path/>
              <v:fill on="t" focussize="0,0"/>
              <v:stroke weight="2pt" color="#805514"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v:textbox>
            </v:rect>
            <w10:anchorlock/>
          </v:group>
        </w:pict>
      </w:r>
      <w:r>
        <w:rPr>
          <w:rFonts w:hint="eastAsia" w:ascii="仿宋" w:hAnsi="仿宋" w:eastAsia="仿宋" w:cs="仿宋"/>
          <w:b/>
          <w:bCs/>
          <w:color w:val="000000"/>
          <w:kern w:val="0"/>
          <w:sz w:val="32"/>
          <w:szCs w:val="32"/>
        </w:rPr>
        <w:t>他交通费用：</w:t>
      </w:r>
      <w:r>
        <w:rPr>
          <w:rFonts w:hint="eastAsia" w:ascii="仿宋" w:hAnsi="仿宋" w:eastAsia="仿宋" w:cs="仿宋"/>
          <w:color w:val="000000"/>
          <w:kern w:val="0"/>
          <w:sz w:val="32"/>
          <w:szCs w:val="32"/>
        </w:rPr>
        <w:t>填列单位除公务用车运行维护费以外的其他交通费用。如公务交通补贴、租车费用、出租车费用、飞机、船舶等的燃料费、维修费、保险费等。</w:t>
      </w:r>
    </w:p>
    <w:p>
      <w:pPr>
        <w:widowControl/>
        <w:spacing w:after="0" w:line="560" w:lineRule="exact"/>
        <w:ind w:firstLine="643" w:firstLineChars="200"/>
        <w:rPr>
          <w:rFonts w:ascii="仿宋" w:hAnsi="仿宋" w:eastAsia="仿宋" w:cs="仿宋"/>
          <w:color w:val="000000"/>
          <w:kern w:val="0"/>
          <w:sz w:val="32"/>
          <w:szCs w:val="32"/>
        </w:rPr>
      </w:pPr>
      <w:r>
        <w:rPr>
          <w:rFonts w:hint="eastAsia" w:ascii="仿宋" w:hAnsi="仿宋" w:eastAsia="仿宋" w:cs="仿宋"/>
          <w:b/>
          <w:bCs/>
          <w:color w:val="000000"/>
          <w:kern w:val="0"/>
          <w:sz w:val="32"/>
          <w:szCs w:val="32"/>
        </w:rPr>
        <w:t>（十四）公务用车购置：</w:t>
      </w:r>
      <w:r>
        <w:rPr>
          <w:rFonts w:hint="eastAsia" w:ascii="仿宋" w:hAnsi="仿宋" w:eastAsia="仿宋" w:cs="仿宋"/>
          <w:color w:val="000000"/>
          <w:kern w:val="0"/>
          <w:sz w:val="32"/>
          <w:szCs w:val="32"/>
        </w:rPr>
        <w:t>填列单位公务用车购置支出（含车辆购置税、牌照费）。</w:t>
      </w:r>
    </w:p>
    <w:p>
      <w:pPr>
        <w:widowControl/>
        <w:spacing w:after="0" w:line="560" w:lineRule="exact"/>
        <w:ind w:firstLine="643" w:firstLineChars="200"/>
        <w:rPr>
          <w:rFonts w:ascii="仿宋" w:hAnsi="仿宋" w:eastAsia="仿宋" w:cs="仿宋"/>
          <w:color w:val="000000"/>
          <w:kern w:val="0"/>
          <w:sz w:val="32"/>
          <w:szCs w:val="32"/>
        </w:rPr>
      </w:pPr>
      <w:r>
        <w:rPr>
          <w:rFonts w:hint="eastAsia" w:ascii="仿宋" w:hAnsi="仿宋" w:eastAsia="仿宋" w:cs="仿宋"/>
          <w:b/>
          <w:bCs/>
          <w:color w:val="000000"/>
          <w:kern w:val="0"/>
          <w:sz w:val="32"/>
          <w:szCs w:val="32"/>
        </w:rPr>
        <w:t>（十五）其他交通工具购置：</w:t>
      </w:r>
      <w:r>
        <w:rPr>
          <w:rFonts w:hint="eastAsia" w:ascii="仿宋" w:hAnsi="仿宋" w:eastAsia="仿宋" w:cs="仿宋"/>
          <w:color w:val="000000"/>
          <w:kern w:val="0"/>
          <w:sz w:val="32"/>
          <w:szCs w:val="32"/>
        </w:rPr>
        <w:t>填列单位除公务用车外的其他各类交通工具（如船舶、飞机）购置支出（含车辆购置税、牌照费）。</w:t>
      </w:r>
    </w:p>
    <w:p>
      <w:pPr>
        <w:widowControl/>
        <w:spacing w:after="0" w:line="560" w:lineRule="exact"/>
        <w:ind w:firstLine="643" w:firstLineChars="200"/>
        <w:rPr>
          <w:rFonts w:ascii="仿宋" w:hAnsi="仿宋" w:eastAsia="仿宋" w:cs="仿宋"/>
          <w:color w:val="000000"/>
          <w:kern w:val="0"/>
          <w:sz w:val="32"/>
          <w:szCs w:val="32"/>
        </w:rPr>
      </w:pPr>
      <w:r>
        <w:rPr>
          <w:rFonts w:hint="eastAsia" w:ascii="仿宋" w:hAnsi="仿宋" w:eastAsia="仿宋" w:cs="仿宋"/>
          <w:b/>
          <w:bCs/>
          <w:color w:val="000000"/>
          <w:kern w:val="0"/>
          <w:sz w:val="32"/>
          <w:szCs w:val="32"/>
        </w:rPr>
        <w:t>（十六）机关运行经费：</w:t>
      </w:r>
      <w:r>
        <w:rPr>
          <w:rFonts w:hint="eastAsia" w:ascii="仿宋" w:hAnsi="仿宋" w:eastAsia="仿宋" w:cs="仿宋"/>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560" w:lineRule="exact"/>
        <w:ind w:firstLine="643" w:firstLineChars="200"/>
        <w:rPr>
          <w:rFonts w:ascii="仿宋" w:hAnsi="仿宋" w:eastAsia="仿宋" w:cs="仿宋"/>
          <w:kern w:val="0"/>
          <w:sz w:val="32"/>
          <w:szCs w:val="32"/>
        </w:rPr>
        <w:sectPr>
          <w:pgSz w:w="11906" w:h="16838"/>
          <w:pgMar w:top="2098" w:right="1474" w:bottom="1985" w:left="1588" w:header="851" w:footer="992" w:gutter="0"/>
          <w:cols w:space="425" w:num="1"/>
          <w:docGrid w:type="lines" w:linePitch="312" w:charSpace="0"/>
        </w:sectPr>
      </w:pPr>
      <w:r>
        <w:rPr>
          <w:rFonts w:hint="eastAsia" w:ascii="仿宋" w:hAnsi="仿宋" w:eastAsia="仿宋" w:cs="仿宋"/>
          <w:b/>
          <w:bCs/>
          <w:color w:val="000000"/>
          <w:kern w:val="0"/>
          <w:sz w:val="32"/>
          <w:szCs w:val="32"/>
        </w:rPr>
        <w:t>（十七）经费形式:</w:t>
      </w:r>
      <w:r>
        <w:rPr>
          <w:rFonts w:hint="eastAsia" w:ascii="仿宋" w:hAnsi="仿宋" w:eastAsia="仿宋" w:cs="仿宋"/>
          <w:color w:val="000000"/>
          <w:kern w:val="0"/>
          <w:sz w:val="32"/>
          <w:szCs w:val="32"/>
        </w:rPr>
        <w:t>按照经费来源，</w:t>
      </w:r>
      <w:r>
        <w:rPr>
          <w:rFonts w:hint="eastAsia" w:ascii="仿宋" w:hAnsi="仿宋" w:eastAsia="仿宋" w:cs="仿宋"/>
          <w:kern w:val="0"/>
          <w:sz w:val="32"/>
          <w:szCs w:val="32"/>
        </w:rPr>
        <w:t>可分为财政拨款、财政性资金基本保证、财政性资金定额或定项补助、财政性资金零补助四类。</w:t>
      </w:r>
    </w:p>
    <w:p>
      <w:pPr>
        <w:widowControl/>
        <w:spacing w:after="0" w:line="560" w:lineRule="exact"/>
        <w:ind w:firstLine="640" w:firstLineChars="200"/>
        <w:rPr>
          <w:rFonts w:ascii="仿宋" w:hAnsi="仿宋" w:eastAsia="仿宋" w:cs="仿宋"/>
          <w:kern w:val="0"/>
          <w:sz w:val="32"/>
          <w:szCs w:val="32"/>
        </w:rPr>
      </w:pPr>
      <w:r>
        <w:rPr>
          <w:rFonts w:hint="eastAsia" w:ascii="仿宋" w:hAnsi="仿宋" w:eastAsia="仿宋" w:cs="仿宋"/>
          <w:kern w:val="0"/>
          <w:sz w:val="32"/>
          <w:szCs w:val="32"/>
        </w:rPr>
        <w:drawing>
          <wp:anchor distT="0" distB="0" distL="114300" distR="114300" simplePos="0" relativeHeight="251670528" behindDoc="1" locked="0" layoutInCell="1" allowOverlap="1">
            <wp:simplePos x="0" y="0"/>
            <wp:positionH relativeFrom="column">
              <wp:posOffset>-990600</wp:posOffset>
            </wp:positionH>
            <wp:positionV relativeFrom="paragraph">
              <wp:posOffset>-1355090</wp:posOffset>
            </wp:positionV>
            <wp:extent cx="7590155" cy="10735945"/>
            <wp:effectExtent l="0" t="0" r="10795" b="8255"/>
            <wp:wrapNone/>
            <wp:docPr id="101"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3"/>
                    <pic:cNvPicPr>
                      <a:picLocks noChangeAspect="1"/>
                    </pic:cNvPicPr>
                  </pic:nvPicPr>
                  <pic:blipFill>
                    <a:blip r:embed="rId13" cstate="print"/>
                    <a:stretch>
                      <a:fillRect/>
                    </a:stretch>
                  </pic:blipFill>
                  <pic:spPr>
                    <a:xfrm>
                      <a:off x="0" y="0"/>
                      <a:ext cx="7590155" cy="10735945"/>
                    </a:xfrm>
                    <a:prstGeom prst="rect">
                      <a:avLst/>
                    </a:prstGeom>
                  </pic:spPr>
                </pic:pic>
              </a:graphicData>
            </a:graphic>
          </wp:anchor>
        </w:drawing>
      </w:r>
    </w:p>
    <w:sectPr>
      <w:pgSz w:w="11906" w:h="16838"/>
      <w:pgMar w:top="2098" w:right="1474" w:bottom="1985" w:left="1588"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2B39595C-2BB4-4725-BFF8-455FA572C202}"/>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embedRegular r:id="rId2" w:fontKey="{4585F613-FEEA-47B0-B293-3D57E7E27E4F}"/>
  </w:font>
  <w:font w:name="Cambria">
    <w:panose1 w:val="02040503050406030204"/>
    <w:charset w:val="00"/>
    <w:family w:val="roman"/>
    <w:pitch w:val="default"/>
    <w:sig w:usb0="E00002FF" w:usb1="400004FF" w:usb2="00000000" w:usb3="00000000" w:csb0="2000019F" w:csb1="00000000"/>
    <w:embedRegular r:id="rId3" w:fontKey="{F2C176C2-B777-4DE2-A2EB-1BF614AB6995}"/>
  </w:font>
  <w:font w:name="仿宋_GB2312">
    <w:panose1 w:val="02010609030101010101"/>
    <w:charset w:val="86"/>
    <w:family w:val="modern"/>
    <w:pitch w:val="default"/>
    <w:sig w:usb0="00000000" w:usb1="00000000" w:usb2="00000000" w:usb3="00000000" w:csb0="00000000" w:csb1="00000000"/>
    <w:embedRegular r:id="rId4" w:fontKey="{FB1951F3-88D3-43AF-8C52-88F82B650652}"/>
  </w:font>
  <w:font w:name="楷体">
    <w:panose1 w:val="02010609060101010101"/>
    <w:charset w:val="86"/>
    <w:family w:val="modern"/>
    <w:pitch w:val="default"/>
    <w:sig w:usb0="800002BF" w:usb1="38CF7CFA" w:usb2="00000016" w:usb3="00000000" w:csb0="00040001" w:csb1="00000000"/>
    <w:embedRegular r:id="rId5" w:fontKey="{83873198-E03B-4F4F-A3ED-1CB5A3718FE2}"/>
  </w:font>
  <w:font w:name="楷体_GB2312">
    <w:panose1 w:val="02010609030101010101"/>
    <w:charset w:val="86"/>
    <w:family w:val="modern"/>
    <w:pitch w:val="default"/>
    <w:sig w:usb0="00000000" w:usb1="00000000" w:usb2="00000000" w:usb3="00000000" w:csb0="00000000" w:csb1="00000000"/>
    <w:embedRegular r:id="rId6" w:fontKey="{1269B1A2-C8A5-4DB2-BE2F-218762DC68C5}"/>
  </w:font>
  <w:font w:name="ArialUnicodeMS">
    <w:altName w:val="Malgun Gothic"/>
    <w:panose1 w:val="00000000000000000000"/>
    <w:charset w:val="81"/>
    <w:family w:val="auto"/>
    <w:pitch w:val="default"/>
    <w:sig w:usb0="00000000" w:usb1="00000000" w:usb2="00000010" w:usb3="00000000" w:csb0="00080001" w:csb1="00000000"/>
    <w:embedRegular r:id="rId7" w:fontKey="{B3D3801A-5945-4C1C-8408-F4A3D04C9CF6}"/>
  </w:font>
  <w:font w:name="仿宋">
    <w:panose1 w:val="02010609060101010101"/>
    <w:charset w:val="86"/>
    <w:family w:val="modern"/>
    <w:pitch w:val="default"/>
    <w:sig w:usb0="800002BF" w:usb1="38CF7CFA" w:usb2="00000016" w:usb3="00000000" w:csb0="00040001" w:csb1="00000000"/>
    <w:embedRegular r:id="rId8" w:fontKey="{FCEE94B5-8F01-4777-B4CE-541C430BBC04}"/>
  </w:font>
  <w:font w:name="DengXian-Regular">
    <w:altName w:val="宋体"/>
    <w:panose1 w:val="00000000000000000000"/>
    <w:charset w:val="86"/>
    <w:family w:val="auto"/>
    <w:pitch w:val="default"/>
    <w:sig w:usb0="00000000" w:usb1="00000000" w:usb2="00000010" w:usb3="00000000" w:csb0="00040001" w:csb1="00000000"/>
    <w:embedRegular r:id="rId9" w:fontKey="{CF754F43-5247-4662-A624-A36CF5CC8C7F}"/>
  </w:font>
  <w:font w:name="MS-UIGothic,Bold">
    <w:altName w:val="Malgun Gothic"/>
    <w:panose1 w:val="00000000000000000000"/>
    <w:charset w:val="81"/>
    <w:family w:val="auto"/>
    <w:pitch w:val="default"/>
    <w:sig w:usb0="00000000" w:usb1="00000000" w:usb2="00000010" w:usb3="00000000" w:csb0="00080000" w:csb1="00000000"/>
    <w:embedRegular r:id="rId10" w:fontKey="{75D13777-9C6A-4FAD-9DE3-03085C3DA44A}"/>
  </w:font>
  <w:font w:name="DengXian-Bold">
    <w:altName w:val="宋体"/>
    <w:panose1 w:val="00000000000000000000"/>
    <w:charset w:val="86"/>
    <w:family w:val="auto"/>
    <w:pitch w:val="default"/>
    <w:sig w:usb0="00000000" w:usb1="00000000" w:usb2="00000010" w:usb3="00000000" w:csb0="00040001" w:csb1="00000000"/>
    <w:embedRegular r:id="rId11" w:fontKey="{37651C14-7CF2-42C7-8ED7-9D9EFA885FA9}"/>
  </w:font>
  <w:font w:name="Gulim">
    <w:panose1 w:val="020B0600000101010101"/>
    <w:charset w:val="81"/>
    <w:family w:val="auto"/>
    <w:pitch w:val="default"/>
    <w:sig w:usb0="B00002AF" w:usb1="69D77CFB" w:usb2="00000030" w:usb3="00000000" w:csb0="4008009F" w:csb1="DFD70000"/>
  </w:font>
  <w:font w:name="Malgun Gothic">
    <w:panose1 w:val="020B0503020000020004"/>
    <w:charset w:val="81"/>
    <w:family w:val="auto"/>
    <w:pitch w:val="default"/>
    <w:sig w:usb0="900002AF" w:usb1="01D77CFB" w:usb2="00000012" w:usb3="00000000" w:csb0="0008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FE55E40"/>
    <w:multiLevelType w:val="multilevel"/>
    <w:tmpl w:val="1FE55E40"/>
    <w:lvl w:ilvl="0" w:tentative="0">
      <w:start w:val="1"/>
      <w:numFmt w:val="japaneseCounting"/>
      <w:lvlText w:val="%1、"/>
      <w:lvlJc w:val="left"/>
      <w:pPr>
        <w:ind w:left="1365" w:hanging="720"/>
      </w:pPr>
      <w:rPr>
        <w:rFonts w:hint="default"/>
      </w:rPr>
    </w:lvl>
    <w:lvl w:ilvl="1" w:tentative="0">
      <w:start w:val="1"/>
      <w:numFmt w:val="lowerLetter"/>
      <w:lvlText w:val="%2)"/>
      <w:lvlJc w:val="left"/>
      <w:pPr>
        <w:ind w:left="1485" w:hanging="420"/>
      </w:pPr>
    </w:lvl>
    <w:lvl w:ilvl="2" w:tentative="0">
      <w:start w:val="1"/>
      <w:numFmt w:val="lowerRoman"/>
      <w:lvlText w:val="%3."/>
      <w:lvlJc w:val="right"/>
      <w:pPr>
        <w:ind w:left="1905" w:hanging="420"/>
      </w:pPr>
    </w:lvl>
    <w:lvl w:ilvl="3" w:tentative="0">
      <w:start w:val="1"/>
      <w:numFmt w:val="decimal"/>
      <w:lvlText w:val="%4."/>
      <w:lvlJc w:val="left"/>
      <w:pPr>
        <w:ind w:left="2325" w:hanging="420"/>
      </w:pPr>
    </w:lvl>
    <w:lvl w:ilvl="4" w:tentative="0">
      <w:start w:val="1"/>
      <w:numFmt w:val="lowerLetter"/>
      <w:lvlText w:val="%5)"/>
      <w:lvlJc w:val="left"/>
      <w:pPr>
        <w:ind w:left="2745" w:hanging="420"/>
      </w:pPr>
    </w:lvl>
    <w:lvl w:ilvl="5" w:tentative="0">
      <w:start w:val="1"/>
      <w:numFmt w:val="lowerRoman"/>
      <w:lvlText w:val="%6."/>
      <w:lvlJc w:val="right"/>
      <w:pPr>
        <w:ind w:left="3165" w:hanging="420"/>
      </w:pPr>
    </w:lvl>
    <w:lvl w:ilvl="6" w:tentative="0">
      <w:start w:val="1"/>
      <w:numFmt w:val="decimal"/>
      <w:lvlText w:val="%7."/>
      <w:lvlJc w:val="left"/>
      <w:pPr>
        <w:ind w:left="3585" w:hanging="420"/>
      </w:pPr>
    </w:lvl>
    <w:lvl w:ilvl="7" w:tentative="0">
      <w:start w:val="1"/>
      <w:numFmt w:val="lowerLetter"/>
      <w:lvlText w:val="%8)"/>
      <w:lvlJc w:val="left"/>
      <w:pPr>
        <w:ind w:left="4005" w:hanging="420"/>
      </w:pPr>
    </w:lvl>
    <w:lvl w:ilvl="8" w:tentative="0">
      <w:start w:val="1"/>
      <w:numFmt w:val="lowerRoman"/>
      <w:lvlText w:val="%9."/>
      <w:lvlJc w:val="right"/>
      <w:pPr>
        <w:ind w:left="4425" w:hanging="420"/>
      </w:pPr>
    </w:lvl>
  </w:abstractNum>
  <w:abstractNum w:abstractNumId="1">
    <w:nsid w:val="3AB20C27"/>
    <w:multiLevelType w:val="multilevel"/>
    <w:tmpl w:val="3AB20C27"/>
    <w:lvl w:ilvl="0" w:tentative="0">
      <w:start w:val="1"/>
      <w:numFmt w:val="japaneseCounting"/>
      <w:lvlText w:val="（%1）"/>
      <w:lvlJc w:val="left"/>
      <w:pPr>
        <w:ind w:left="1721" w:hanging="1080"/>
      </w:pPr>
      <w:rPr>
        <w:rFonts w:hint="default" w:ascii="楷体_GB2312" w:hAnsi="Times New Roman" w:eastAsia="楷体_GB2312" w:cs="DengXian-Bold"/>
      </w:rPr>
    </w:lvl>
    <w:lvl w:ilvl="1" w:tentative="0">
      <w:start w:val="1"/>
      <w:numFmt w:val="lowerLetter"/>
      <w:lvlText w:val="%2)"/>
      <w:lvlJc w:val="left"/>
      <w:pPr>
        <w:ind w:left="1481" w:hanging="420"/>
      </w:pPr>
    </w:lvl>
    <w:lvl w:ilvl="2" w:tentative="0">
      <w:start w:val="1"/>
      <w:numFmt w:val="lowerRoman"/>
      <w:lvlText w:val="%3."/>
      <w:lvlJc w:val="right"/>
      <w:pPr>
        <w:ind w:left="1901" w:hanging="420"/>
      </w:pPr>
    </w:lvl>
    <w:lvl w:ilvl="3" w:tentative="0">
      <w:start w:val="1"/>
      <w:numFmt w:val="decimal"/>
      <w:lvlText w:val="%4."/>
      <w:lvlJc w:val="left"/>
      <w:pPr>
        <w:ind w:left="2321" w:hanging="420"/>
      </w:pPr>
    </w:lvl>
    <w:lvl w:ilvl="4" w:tentative="0">
      <w:start w:val="1"/>
      <w:numFmt w:val="lowerLetter"/>
      <w:lvlText w:val="%5)"/>
      <w:lvlJc w:val="left"/>
      <w:pPr>
        <w:ind w:left="2741" w:hanging="420"/>
      </w:pPr>
    </w:lvl>
    <w:lvl w:ilvl="5" w:tentative="0">
      <w:start w:val="1"/>
      <w:numFmt w:val="lowerRoman"/>
      <w:lvlText w:val="%6."/>
      <w:lvlJc w:val="right"/>
      <w:pPr>
        <w:ind w:left="3161" w:hanging="420"/>
      </w:pPr>
    </w:lvl>
    <w:lvl w:ilvl="6" w:tentative="0">
      <w:start w:val="1"/>
      <w:numFmt w:val="decimal"/>
      <w:lvlText w:val="%7."/>
      <w:lvlJc w:val="left"/>
      <w:pPr>
        <w:ind w:left="3581" w:hanging="420"/>
      </w:pPr>
    </w:lvl>
    <w:lvl w:ilvl="7" w:tentative="0">
      <w:start w:val="1"/>
      <w:numFmt w:val="lowerLetter"/>
      <w:lvlText w:val="%8)"/>
      <w:lvlJc w:val="left"/>
      <w:pPr>
        <w:ind w:left="4001" w:hanging="420"/>
      </w:pPr>
    </w:lvl>
    <w:lvl w:ilvl="8" w:tentative="0">
      <w:start w:val="1"/>
      <w:numFmt w:val="lowerRoman"/>
      <w:lvlText w:val="%9."/>
      <w:lvlJc w:val="right"/>
      <w:pPr>
        <w:ind w:left="4421" w:hanging="420"/>
      </w:pPr>
    </w:lvl>
  </w:abstractNum>
  <w:abstractNum w:abstractNumId="2">
    <w:nsid w:val="53D898E7"/>
    <w:multiLevelType w:val="singleLevel"/>
    <w:tmpl w:val="53D898E7"/>
    <w:lvl w:ilvl="0" w:tentative="0">
      <w:start w:val="2"/>
      <w:numFmt w:val="chineseCounting"/>
      <w:suff w:val="nothing"/>
      <w:lvlText w:val="（%1）"/>
      <w:lvlJc w:val="left"/>
      <w:rPr>
        <w:rFonts w:hint="eastAsia"/>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1"/>
  <w:bordersDoNotSurroundFooter w:val="1"/>
  <w:documentProtection w:enforcement="0"/>
  <w:defaultTabStop w:val="420"/>
  <w:drawingGridHorizontalSpacing w:val="105"/>
  <w:drawingGridVerticalSpacing w:val="156"/>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3C1413"/>
    <w:rsid w:val="00024E7F"/>
    <w:rsid w:val="000475A0"/>
    <w:rsid w:val="0007512D"/>
    <w:rsid w:val="000838C3"/>
    <w:rsid w:val="000B2446"/>
    <w:rsid w:val="000C0295"/>
    <w:rsid w:val="000D7C65"/>
    <w:rsid w:val="000E2F81"/>
    <w:rsid w:val="00117946"/>
    <w:rsid w:val="00117E2C"/>
    <w:rsid w:val="001222D3"/>
    <w:rsid w:val="00146956"/>
    <w:rsid w:val="00146C47"/>
    <w:rsid w:val="00152FB8"/>
    <w:rsid w:val="00176658"/>
    <w:rsid w:val="0018239E"/>
    <w:rsid w:val="001B3410"/>
    <w:rsid w:val="001C030D"/>
    <w:rsid w:val="001C4A84"/>
    <w:rsid w:val="001E5902"/>
    <w:rsid w:val="001F2920"/>
    <w:rsid w:val="0020361F"/>
    <w:rsid w:val="00205BF3"/>
    <w:rsid w:val="002164DC"/>
    <w:rsid w:val="00233705"/>
    <w:rsid w:val="00246FD9"/>
    <w:rsid w:val="00275CA2"/>
    <w:rsid w:val="002A65A5"/>
    <w:rsid w:val="002A690E"/>
    <w:rsid w:val="002B407E"/>
    <w:rsid w:val="002C04C4"/>
    <w:rsid w:val="002D08B0"/>
    <w:rsid w:val="002D1AE3"/>
    <w:rsid w:val="002E1F87"/>
    <w:rsid w:val="002F2ECE"/>
    <w:rsid w:val="003052BF"/>
    <w:rsid w:val="00311E42"/>
    <w:rsid w:val="00335ABE"/>
    <w:rsid w:val="00336FD8"/>
    <w:rsid w:val="00341C8F"/>
    <w:rsid w:val="0035463A"/>
    <w:rsid w:val="00363D3D"/>
    <w:rsid w:val="00366F76"/>
    <w:rsid w:val="00391D9D"/>
    <w:rsid w:val="00391E1D"/>
    <w:rsid w:val="003B6C51"/>
    <w:rsid w:val="003C1413"/>
    <w:rsid w:val="003C549F"/>
    <w:rsid w:val="003D5A16"/>
    <w:rsid w:val="003E7DB3"/>
    <w:rsid w:val="003F7EC9"/>
    <w:rsid w:val="00431175"/>
    <w:rsid w:val="00445EC0"/>
    <w:rsid w:val="004B42E4"/>
    <w:rsid w:val="004B6E37"/>
    <w:rsid w:val="004C32BA"/>
    <w:rsid w:val="00502B4C"/>
    <w:rsid w:val="0050356F"/>
    <w:rsid w:val="00512FB2"/>
    <w:rsid w:val="00514E2E"/>
    <w:rsid w:val="00575922"/>
    <w:rsid w:val="005840E9"/>
    <w:rsid w:val="005A588B"/>
    <w:rsid w:val="005A6C90"/>
    <w:rsid w:val="005B1264"/>
    <w:rsid w:val="005E3FB0"/>
    <w:rsid w:val="005F4B66"/>
    <w:rsid w:val="005F5208"/>
    <w:rsid w:val="00610986"/>
    <w:rsid w:val="00620222"/>
    <w:rsid w:val="00641318"/>
    <w:rsid w:val="0064405D"/>
    <w:rsid w:val="00653BDA"/>
    <w:rsid w:val="00685302"/>
    <w:rsid w:val="0069356B"/>
    <w:rsid w:val="00695557"/>
    <w:rsid w:val="006D4EA7"/>
    <w:rsid w:val="006E27D1"/>
    <w:rsid w:val="006F73D2"/>
    <w:rsid w:val="0070012A"/>
    <w:rsid w:val="0070664B"/>
    <w:rsid w:val="007071B8"/>
    <w:rsid w:val="007414DE"/>
    <w:rsid w:val="00745431"/>
    <w:rsid w:val="00757D25"/>
    <w:rsid w:val="007905A9"/>
    <w:rsid w:val="007A088E"/>
    <w:rsid w:val="007E1C91"/>
    <w:rsid w:val="007E5500"/>
    <w:rsid w:val="007F055B"/>
    <w:rsid w:val="0080644C"/>
    <w:rsid w:val="00811C2F"/>
    <w:rsid w:val="008247C4"/>
    <w:rsid w:val="00833D46"/>
    <w:rsid w:val="00840A97"/>
    <w:rsid w:val="008714C4"/>
    <w:rsid w:val="008C0149"/>
    <w:rsid w:val="008D5DED"/>
    <w:rsid w:val="008E25CA"/>
    <w:rsid w:val="008F34FC"/>
    <w:rsid w:val="009163E3"/>
    <w:rsid w:val="00944CD7"/>
    <w:rsid w:val="00963C75"/>
    <w:rsid w:val="009831B2"/>
    <w:rsid w:val="009A1ABE"/>
    <w:rsid w:val="009E21A4"/>
    <w:rsid w:val="009F22C6"/>
    <w:rsid w:val="00A07E50"/>
    <w:rsid w:val="00A15397"/>
    <w:rsid w:val="00A2458A"/>
    <w:rsid w:val="00A35CE0"/>
    <w:rsid w:val="00A4462E"/>
    <w:rsid w:val="00A44AA4"/>
    <w:rsid w:val="00A46688"/>
    <w:rsid w:val="00A61623"/>
    <w:rsid w:val="00A84687"/>
    <w:rsid w:val="00A932E1"/>
    <w:rsid w:val="00AA1A88"/>
    <w:rsid w:val="00AB0A0E"/>
    <w:rsid w:val="00AD3B6E"/>
    <w:rsid w:val="00AD6FA3"/>
    <w:rsid w:val="00AE5F65"/>
    <w:rsid w:val="00AF27D4"/>
    <w:rsid w:val="00AF327D"/>
    <w:rsid w:val="00B1751F"/>
    <w:rsid w:val="00B34FED"/>
    <w:rsid w:val="00B45C05"/>
    <w:rsid w:val="00B56722"/>
    <w:rsid w:val="00B74D39"/>
    <w:rsid w:val="00B913DE"/>
    <w:rsid w:val="00B91DA4"/>
    <w:rsid w:val="00BA49A8"/>
    <w:rsid w:val="00BB76CC"/>
    <w:rsid w:val="00C12630"/>
    <w:rsid w:val="00C34562"/>
    <w:rsid w:val="00C3774E"/>
    <w:rsid w:val="00C47C81"/>
    <w:rsid w:val="00C57456"/>
    <w:rsid w:val="00C60445"/>
    <w:rsid w:val="00C65387"/>
    <w:rsid w:val="00C87FAB"/>
    <w:rsid w:val="00C91FF7"/>
    <w:rsid w:val="00C94E53"/>
    <w:rsid w:val="00C96945"/>
    <w:rsid w:val="00CE4513"/>
    <w:rsid w:val="00CF7968"/>
    <w:rsid w:val="00D0048E"/>
    <w:rsid w:val="00D21DFE"/>
    <w:rsid w:val="00D23E7A"/>
    <w:rsid w:val="00D27F0B"/>
    <w:rsid w:val="00D32450"/>
    <w:rsid w:val="00D40CA4"/>
    <w:rsid w:val="00D61063"/>
    <w:rsid w:val="00D73DF0"/>
    <w:rsid w:val="00D80535"/>
    <w:rsid w:val="00DB220A"/>
    <w:rsid w:val="00DB35AF"/>
    <w:rsid w:val="00DB65B6"/>
    <w:rsid w:val="00DD34A8"/>
    <w:rsid w:val="00DD72D7"/>
    <w:rsid w:val="00DF123E"/>
    <w:rsid w:val="00DF5B88"/>
    <w:rsid w:val="00E007EF"/>
    <w:rsid w:val="00E0589E"/>
    <w:rsid w:val="00E1216C"/>
    <w:rsid w:val="00E15AB7"/>
    <w:rsid w:val="00E241FA"/>
    <w:rsid w:val="00E2595E"/>
    <w:rsid w:val="00E25DFC"/>
    <w:rsid w:val="00E35374"/>
    <w:rsid w:val="00E50C19"/>
    <w:rsid w:val="00E64655"/>
    <w:rsid w:val="00E73081"/>
    <w:rsid w:val="00E856C9"/>
    <w:rsid w:val="00EB6A8B"/>
    <w:rsid w:val="00EF38C6"/>
    <w:rsid w:val="00F16B76"/>
    <w:rsid w:val="00F679C7"/>
    <w:rsid w:val="00F7711A"/>
    <w:rsid w:val="00FA0D58"/>
    <w:rsid w:val="00FA56F4"/>
    <w:rsid w:val="00FB4EDA"/>
    <w:rsid w:val="00FB5C2E"/>
    <w:rsid w:val="00FD3BD5"/>
    <w:rsid w:val="00FE3DC8"/>
    <w:rsid w:val="029C6D78"/>
    <w:rsid w:val="03087383"/>
    <w:rsid w:val="04073F84"/>
    <w:rsid w:val="065D4893"/>
    <w:rsid w:val="06B159AA"/>
    <w:rsid w:val="0A8A41EB"/>
    <w:rsid w:val="0B5816E7"/>
    <w:rsid w:val="0B60750A"/>
    <w:rsid w:val="0B9201D3"/>
    <w:rsid w:val="0D946C99"/>
    <w:rsid w:val="10686488"/>
    <w:rsid w:val="10DF728A"/>
    <w:rsid w:val="121F55DE"/>
    <w:rsid w:val="1264200E"/>
    <w:rsid w:val="141C5B77"/>
    <w:rsid w:val="15737F58"/>
    <w:rsid w:val="18D8339D"/>
    <w:rsid w:val="1A21388F"/>
    <w:rsid w:val="1A570D2F"/>
    <w:rsid w:val="1E2F5AE4"/>
    <w:rsid w:val="230F13B5"/>
    <w:rsid w:val="25F117BB"/>
    <w:rsid w:val="25FC6E78"/>
    <w:rsid w:val="2888303C"/>
    <w:rsid w:val="28FB0B8D"/>
    <w:rsid w:val="29E44E38"/>
    <w:rsid w:val="2A1C6E4B"/>
    <w:rsid w:val="2A9870FC"/>
    <w:rsid w:val="2ACA3830"/>
    <w:rsid w:val="2D2B7942"/>
    <w:rsid w:val="2D46481D"/>
    <w:rsid w:val="2DD177ED"/>
    <w:rsid w:val="2E733B28"/>
    <w:rsid w:val="31852B5A"/>
    <w:rsid w:val="32D01238"/>
    <w:rsid w:val="34AD1BD9"/>
    <w:rsid w:val="354A59F2"/>
    <w:rsid w:val="35D976E0"/>
    <w:rsid w:val="3647585F"/>
    <w:rsid w:val="37350EF8"/>
    <w:rsid w:val="399F08A5"/>
    <w:rsid w:val="3C2052EA"/>
    <w:rsid w:val="3DFC59A8"/>
    <w:rsid w:val="3EB9251C"/>
    <w:rsid w:val="3ECF245E"/>
    <w:rsid w:val="3FB96314"/>
    <w:rsid w:val="422D7F19"/>
    <w:rsid w:val="43FC05F5"/>
    <w:rsid w:val="443C34EA"/>
    <w:rsid w:val="45351006"/>
    <w:rsid w:val="45D13863"/>
    <w:rsid w:val="4A57522D"/>
    <w:rsid w:val="531F70BA"/>
    <w:rsid w:val="53A44FAF"/>
    <w:rsid w:val="55CB09AB"/>
    <w:rsid w:val="586D35F3"/>
    <w:rsid w:val="594329EC"/>
    <w:rsid w:val="5B82147A"/>
    <w:rsid w:val="5BEE1540"/>
    <w:rsid w:val="5DE61A5D"/>
    <w:rsid w:val="60785380"/>
    <w:rsid w:val="61335F87"/>
    <w:rsid w:val="62754AD1"/>
    <w:rsid w:val="63634B1E"/>
    <w:rsid w:val="63C04243"/>
    <w:rsid w:val="644808A1"/>
    <w:rsid w:val="649C01C7"/>
    <w:rsid w:val="6934395A"/>
    <w:rsid w:val="699A3F60"/>
    <w:rsid w:val="6AAB0F0B"/>
    <w:rsid w:val="6D632262"/>
    <w:rsid w:val="72902E62"/>
    <w:rsid w:val="73C61104"/>
    <w:rsid w:val="775C21B0"/>
    <w:rsid w:val="776452EA"/>
    <w:rsid w:val="78212440"/>
    <w:rsid w:val="7D933BB5"/>
    <w:rsid w:val="7DC663B9"/>
    <w:rsid w:val="7F197347"/>
    <w:rsid w:val="7FD21032"/>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8"/>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9"/>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30"/>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31"/>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5">
    <w:name w:val="Default Paragraph Font"/>
    <w:semiHidden/>
    <w:unhideWhenUsed/>
    <w:qFormat/>
    <w:uiPriority w:val="1"/>
  </w:style>
  <w:style w:type="table" w:default="1" w:styleId="13">
    <w:name w:val="Normal Table"/>
    <w:semiHidden/>
    <w:unhideWhenUsed/>
    <w:uiPriority w:val="99"/>
    <w:tblPr>
      <w:tblCellMar>
        <w:top w:w="0" w:type="dxa"/>
        <w:left w:w="108" w:type="dxa"/>
        <w:bottom w:w="0" w:type="dxa"/>
        <w:right w:w="108" w:type="dxa"/>
      </w:tblCellMar>
    </w:tblPr>
  </w:style>
  <w:style w:type="paragraph" w:styleId="6">
    <w:name w:val="Body Text"/>
    <w:basedOn w:val="1"/>
    <w:link w:val="35"/>
    <w:semiHidden/>
    <w:qFormat/>
    <w:uiPriority w:val="0"/>
    <w:pPr>
      <w:autoSpaceDE w:val="0"/>
      <w:autoSpaceDN w:val="0"/>
      <w:adjustRightInd w:val="0"/>
      <w:snapToGrid w:val="0"/>
      <w:spacing w:after="0" w:line="588" w:lineRule="atLeast"/>
    </w:pPr>
    <w:rPr>
      <w:rFonts w:ascii="宋体" w:hAnsi="宋体" w:eastAsia="仿宋_GB2312" w:cstheme="minorBidi"/>
      <w:spacing w:val="-2"/>
      <w:kern w:val="0"/>
      <w:sz w:val="32"/>
    </w:rPr>
  </w:style>
  <w:style w:type="paragraph" w:styleId="7">
    <w:name w:val="Date"/>
    <w:basedOn w:val="1"/>
    <w:next w:val="1"/>
    <w:link w:val="32"/>
    <w:semiHidden/>
    <w:unhideWhenUsed/>
    <w:qFormat/>
    <w:uiPriority w:val="99"/>
    <w:pPr>
      <w:ind w:left="100" w:leftChars="2500"/>
    </w:pPr>
  </w:style>
  <w:style w:type="paragraph" w:styleId="8">
    <w:name w:val="Balloon Text"/>
    <w:basedOn w:val="1"/>
    <w:link w:val="20"/>
    <w:semiHidden/>
    <w:unhideWhenUsed/>
    <w:qFormat/>
    <w:uiPriority w:val="99"/>
    <w:rPr>
      <w:sz w:val="18"/>
      <w:szCs w:val="18"/>
    </w:rPr>
  </w:style>
  <w:style w:type="paragraph" w:styleId="9">
    <w:name w:val="footer"/>
    <w:basedOn w:val="1"/>
    <w:link w:val="1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0">
    <w:name w:val="header"/>
    <w:basedOn w:val="1"/>
    <w:link w:val="16"/>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1">
    <w:name w:val="Subtitle"/>
    <w:basedOn w:val="1"/>
    <w:next w:val="1"/>
    <w:link w:val="22"/>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rPr>
  </w:style>
  <w:style w:type="paragraph" w:styleId="12">
    <w:name w:val="Title"/>
    <w:basedOn w:val="1"/>
    <w:next w:val="1"/>
    <w:link w:val="21"/>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A2C23" w:themeColor="text2" w:themeShade="BF"/>
      <w:spacing w:val="5"/>
      <w:kern w:val="28"/>
      <w:sz w:val="52"/>
      <w:szCs w:val="52"/>
    </w:rPr>
  </w:style>
  <w:style w:type="table" w:styleId="14">
    <w:name w:val="Table Grid"/>
    <w:basedOn w:val="13"/>
    <w:qFormat/>
    <w:uiPriority w:val="1"/>
    <w:rPr>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customStyle="1" w:styleId="16">
    <w:name w:val="页眉 Char"/>
    <w:basedOn w:val="15"/>
    <w:link w:val="10"/>
    <w:qFormat/>
    <w:uiPriority w:val="99"/>
    <w:rPr>
      <w:sz w:val="18"/>
      <w:szCs w:val="18"/>
    </w:rPr>
  </w:style>
  <w:style w:type="character" w:customStyle="1" w:styleId="17">
    <w:name w:val="页脚 Char"/>
    <w:basedOn w:val="15"/>
    <w:link w:val="9"/>
    <w:qFormat/>
    <w:uiPriority w:val="99"/>
    <w:rPr>
      <w:sz w:val="18"/>
      <w:szCs w:val="18"/>
    </w:rPr>
  </w:style>
  <w:style w:type="paragraph" w:styleId="18">
    <w:name w:val="No Spacing"/>
    <w:link w:val="19"/>
    <w:qFormat/>
    <w:uiPriority w:val="1"/>
    <w:pPr>
      <w:spacing w:after="160" w:line="480" w:lineRule="auto"/>
    </w:pPr>
    <w:rPr>
      <w:rFonts w:asciiTheme="minorHAnsi" w:hAnsiTheme="minorHAnsi" w:eastAsiaTheme="minorEastAsia" w:cstheme="minorBidi"/>
      <w:sz w:val="22"/>
      <w:szCs w:val="22"/>
      <w:lang w:val="en-US" w:eastAsia="zh-CN" w:bidi="ar-SA"/>
    </w:rPr>
  </w:style>
  <w:style w:type="character" w:customStyle="1" w:styleId="19">
    <w:name w:val="无间隔 Char"/>
    <w:basedOn w:val="15"/>
    <w:link w:val="18"/>
    <w:qFormat/>
    <w:uiPriority w:val="1"/>
    <w:rPr>
      <w:kern w:val="0"/>
      <w:sz w:val="22"/>
    </w:rPr>
  </w:style>
  <w:style w:type="character" w:customStyle="1" w:styleId="20">
    <w:name w:val="批注框文本 Char"/>
    <w:basedOn w:val="15"/>
    <w:link w:val="8"/>
    <w:semiHidden/>
    <w:qFormat/>
    <w:uiPriority w:val="99"/>
    <w:rPr>
      <w:rFonts w:ascii="Times New Roman" w:hAnsi="Times New Roman" w:eastAsia="宋体" w:cs="Times New Roman"/>
      <w:sz w:val="18"/>
      <w:szCs w:val="18"/>
    </w:rPr>
  </w:style>
  <w:style w:type="character" w:customStyle="1" w:styleId="21">
    <w:name w:val="标题 Char"/>
    <w:basedOn w:val="15"/>
    <w:link w:val="12"/>
    <w:qFormat/>
    <w:uiPriority w:val="10"/>
    <w:rPr>
      <w:rFonts w:asciiTheme="majorHAnsi" w:hAnsiTheme="majorHAnsi" w:eastAsiaTheme="majorEastAsia" w:cstheme="majorBidi"/>
      <w:color w:val="3A2C23" w:themeColor="text2" w:themeShade="BF"/>
      <w:spacing w:val="5"/>
      <w:kern w:val="28"/>
      <w:sz w:val="52"/>
      <w:szCs w:val="52"/>
    </w:rPr>
  </w:style>
  <w:style w:type="character" w:customStyle="1" w:styleId="22">
    <w:name w:val="副标题 Char"/>
    <w:basedOn w:val="15"/>
    <w:link w:val="11"/>
    <w:qFormat/>
    <w:uiPriority w:val="11"/>
    <w:rPr>
      <w:rFonts w:asciiTheme="majorHAnsi" w:hAnsiTheme="majorHAnsi" w:eastAsiaTheme="majorEastAsia" w:cstheme="majorBidi"/>
      <w:i/>
      <w:iCs/>
      <w:color w:val="F0A22E" w:themeColor="accent1"/>
      <w:spacing w:val="15"/>
      <w:kern w:val="0"/>
      <w:sz w:val="24"/>
      <w:szCs w:val="24"/>
    </w:rPr>
  </w:style>
  <w:style w:type="character" w:customStyle="1" w:styleId="23">
    <w:name w:val="Style1"/>
    <w:basedOn w:val="15"/>
    <w:qFormat/>
    <w:uiPriority w:val="1"/>
    <w:rPr>
      <w:rFonts w:asciiTheme="minorHAnsi" w:hAnsiTheme="minorEastAsia" w:eastAsiaTheme="minorEastAsia" w:cstheme="minorBidi"/>
      <w:sz w:val="22"/>
      <w:szCs w:val="22"/>
      <w:lang w:eastAsia="zh-CN"/>
    </w:rPr>
  </w:style>
  <w:style w:type="character" w:customStyle="1" w:styleId="24">
    <w:name w:val="Style2"/>
    <w:basedOn w:val="15"/>
    <w:qFormat/>
    <w:uiPriority w:val="1"/>
    <w:rPr>
      <w:rFonts w:asciiTheme="minorHAnsi" w:hAnsiTheme="minorEastAsia" w:eastAsiaTheme="minorEastAsia" w:cstheme="minorBidi"/>
      <w:sz w:val="22"/>
      <w:szCs w:val="22"/>
      <w:lang w:eastAsia="zh-CN"/>
    </w:rPr>
  </w:style>
  <w:style w:type="character" w:customStyle="1" w:styleId="25">
    <w:name w:val="Style3"/>
    <w:basedOn w:val="15"/>
    <w:qFormat/>
    <w:uiPriority w:val="1"/>
    <w:rPr>
      <w:rFonts w:asciiTheme="minorHAnsi" w:hAnsiTheme="minorEastAsia" w:eastAsiaTheme="minorEastAsia" w:cstheme="minorBidi"/>
      <w:szCs w:val="22"/>
      <w:lang w:eastAsia="zh-CN"/>
    </w:rPr>
  </w:style>
  <w:style w:type="character" w:customStyle="1" w:styleId="26">
    <w:name w:val="Style4"/>
    <w:basedOn w:val="15"/>
    <w:qFormat/>
    <w:uiPriority w:val="1"/>
    <w:rPr>
      <w:rFonts w:asciiTheme="minorHAnsi" w:hAnsiTheme="minorEastAsia" w:eastAsiaTheme="minorEastAsia" w:cstheme="minorBidi"/>
      <w:szCs w:val="22"/>
      <w:lang w:eastAsia="zh-CN"/>
    </w:rPr>
  </w:style>
  <w:style w:type="character" w:customStyle="1" w:styleId="27">
    <w:name w:val="Style5"/>
    <w:basedOn w:val="15"/>
    <w:qFormat/>
    <w:uiPriority w:val="1"/>
    <w:rPr>
      <w:rFonts w:asciiTheme="minorHAnsi" w:hAnsiTheme="minorEastAsia" w:eastAsiaTheme="minorEastAsia" w:cstheme="minorBidi"/>
      <w:sz w:val="22"/>
      <w:szCs w:val="22"/>
      <w:lang w:eastAsia="zh-CN"/>
    </w:rPr>
  </w:style>
  <w:style w:type="character" w:customStyle="1" w:styleId="28">
    <w:name w:val="标题 1 Char"/>
    <w:basedOn w:val="15"/>
    <w:link w:val="2"/>
    <w:qFormat/>
    <w:uiPriority w:val="9"/>
    <w:rPr>
      <w:rFonts w:ascii="Times New Roman" w:hAnsi="Times New Roman" w:eastAsia="宋体" w:cs="Times New Roman"/>
      <w:b/>
      <w:bCs/>
      <w:kern w:val="44"/>
      <w:sz w:val="44"/>
      <w:szCs w:val="44"/>
    </w:rPr>
  </w:style>
  <w:style w:type="character" w:customStyle="1" w:styleId="29">
    <w:name w:val="标题 2 Char"/>
    <w:basedOn w:val="15"/>
    <w:link w:val="3"/>
    <w:qFormat/>
    <w:uiPriority w:val="9"/>
    <w:rPr>
      <w:rFonts w:asciiTheme="majorHAnsi" w:hAnsiTheme="majorHAnsi" w:eastAsiaTheme="majorEastAsia" w:cstheme="majorBidi"/>
      <w:b/>
      <w:bCs/>
      <w:sz w:val="32"/>
      <w:szCs w:val="32"/>
    </w:rPr>
  </w:style>
  <w:style w:type="character" w:customStyle="1" w:styleId="30">
    <w:name w:val="标题 3 Char"/>
    <w:basedOn w:val="15"/>
    <w:link w:val="4"/>
    <w:qFormat/>
    <w:uiPriority w:val="9"/>
    <w:rPr>
      <w:rFonts w:ascii="Times New Roman" w:hAnsi="Times New Roman" w:eastAsia="宋体" w:cs="Times New Roman"/>
      <w:b/>
      <w:bCs/>
      <w:sz w:val="32"/>
      <w:szCs w:val="32"/>
    </w:rPr>
  </w:style>
  <w:style w:type="character" w:customStyle="1" w:styleId="31">
    <w:name w:val="标题 4 Char"/>
    <w:basedOn w:val="15"/>
    <w:link w:val="5"/>
    <w:qFormat/>
    <w:uiPriority w:val="9"/>
    <w:rPr>
      <w:rFonts w:asciiTheme="majorHAnsi" w:hAnsiTheme="majorHAnsi" w:eastAsiaTheme="majorEastAsia" w:cstheme="majorBidi"/>
      <w:b/>
      <w:bCs/>
      <w:sz w:val="28"/>
      <w:szCs w:val="28"/>
    </w:rPr>
  </w:style>
  <w:style w:type="character" w:customStyle="1" w:styleId="32">
    <w:name w:val="日期 Char"/>
    <w:basedOn w:val="15"/>
    <w:link w:val="7"/>
    <w:semiHidden/>
    <w:qFormat/>
    <w:uiPriority w:val="99"/>
    <w:rPr>
      <w:rFonts w:ascii="Times New Roman" w:hAnsi="Times New Roman" w:eastAsia="宋体" w:cs="Times New Roman"/>
      <w:szCs w:val="24"/>
    </w:rPr>
  </w:style>
  <w:style w:type="paragraph" w:styleId="33">
    <w:name w:val="List Paragraph"/>
    <w:basedOn w:val="1"/>
    <w:unhideWhenUsed/>
    <w:qFormat/>
    <w:uiPriority w:val="99"/>
    <w:pPr>
      <w:ind w:firstLine="420" w:firstLineChars="200"/>
    </w:pPr>
  </w:style>
  <w:style w:type="character" w:customStyle="1" w:styleId="34">
    <w:name w:val="正文文本 Char"/>
    <w:semiHidden/>
    <w:qFormat/>
    <w:locked/>
    <w:uiPriority w:val="0"/>
    <w:rPr>
      <w:rFonts w:ascii="宋体" w:hAnsi="宋体" w:eastAsia="仿宋_GB2312"/>
      <w:spacing w:val="-2"/>
      <w:sz w:val="32"/>
      <w:szCs w:val="24"/>
    </w:rPr>
  </w:style>
  <w:style w:type="character" w:customStyle="1" w:styleId="35">
    <w:name w:val="正文文本 Char1"/>
    <w:basedOn w:val="15"/>
    <w:link w:val="6"/>
    <w:semiHidden/>
    <w:qFormat/>
    <w:uiPriority w:val="99"/>
    <w:rPr>
      <w:rFonts w:ascii="Times New Roman" w:hAnsi="Times New Roman" w:eastAsia="宋体" w:cs="Times New Roman"/>
      <w:kern w:val="2"/>
      <w:sz w:val="21"/>
      <w:szCs w:val="24"/>
    </w:rPr>
  </w:style>
  <w:style w:type="paragraph" w:customStyle="1" w:styleId="36">
    <w:name w:val="修订1"/>
    <w:hidden/>
    <w:unhideWhenUsed/>
    <w:qFormat/>
    <w:uiPriority w:val="99"/>
    <w:rPr>
      <w:rFonts w:ascii="Times New Roman" w:hAnsi="Times New Roman" w:eastAsia="宋体" w:cs="Times New Roman"/>
      <w:kern w:val="2"/>
      <w:sz w:val="21"/>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chart" Target="charts/chart2.xml"/><Relationship Id="rId8" Type="http://schemas.openxmlformats.org/officeDocument/2006/relationships/chart" Target="charts/chart1.xml"/><Relationship Id="rId7" Type="http://schemas.openxmlformats.org/officeDocument/2006/relationships/image" Target="media/image2.jpeg"/><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8" Type="http://schemas.openxmlformats.org/officeDocument/2006/relationships/fontTable" Target="fontTable.xml"/><Relationship Id="rId17" Type="http://schemas.openxmlformats.org/officeDocument/2006/relationships/customXml" Target="../customXml/item3.xml"/><Relationship Id="rId16" Type="http://schemas.openxmlformats.org/officeDocument/2006/relationships/customXml" Target="../customXml/item2.xml"/><Relationship Id="rId15" Type="http://schemas.openxmlformats.org/officeDocument/2006/relationships/numbering" Target="numbering.xml"/><Relationship Id="rId14" Type="http://schemas.openxmlformats.org/officeDocument/2006/relationships/customXml" Target="../customXml/item1.xml"/><Relationship Id="rId13" Type="http://schemas.openxmlformats.org/officeDocument/2006/relationships/image" Target="media/image3.jpeg"/><Relationship Id="rId12" Type="http://schemas.openxmlformats.org/officeDocument/2006/relationships/chart" Target="charts/chart5.xml"/><Relationship Id="rId11" Type="http://schemas.openxmlformats.org/officeDocument/2006/relationships/chart" Target="charts/chart4.xml"/><Relationship Id="rId10" Type="http://schemas.openxmlformats.org/officeDocument/2006/relationships/chart" Target="charts/chart3.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1" Type="http://schemas.openxmlformats.org/officeDocument/2006/relationships/oleObject" Target="NULL" TargetMode="External"/></Relationships>
</file>

<file path=word/charts/_rels/chart3.xml.rels><?xml version="1.0" encoding="UTF-8" standalone="yes"?>
<Relationships xmlns="http://schemas.openxmlformats.org/package/2006/relationships"><Relationship Id="rId1" Type="http://schemas.openxmlformats.org/officeDocument/2006/relationships/package" Target="../embeddings/Workbook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Workbook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Workbook4.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txPr>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p>
      </c:txPr>
    </c:title>
    <c:autoTitleDeleted val="0"/>
    <c:plotArea>
      <c:layout/>
      <c:pieChart>
        <c:varyColors val="1"/>
        <c:ser>
          <c:idx val="0"/>
          <c:order val="0"/>
          <c:tx>
            <c:strRef>
              <c:f>Sheet1!$B$1</c:f>
              <c:strCache>
                <c:ptCount val="1"/>
                <c:pt idx="0">
                  <c:v>本年收入</c:v>
                </c:pt>
              </c:strCache>
            </c:strRef>
          </c:tx>
          <c:explosion val="0"/>
          <c:dPt>
            <c:idx val="0"/>
            <c:bubble3D val="0"/>
          </c:dPt>
          <c:dPt>
            <c:idx val="1"/>
            <c:bubble3D val="0"/>
          </c:dPt>
          <c:dPt>
            <c:idx val="2"/>
            <c:bubble3D val="0"/>
          </c:dPt>
          <c:dPt>
            <c:idx val="3"/>
            <c:bubble3D val="0"/>
          </c:dPt>
          <c:dLbls>
            <c:delete val="1"/>
          </c:dLbls>
          <c:cat>
            <c:strRef>
              <c:f>Sheet1!$A$2:$A$5</c:f>
              <c:strCache>
                <c:ptCount val="1"/>
                <c:pt idx="0">
                  <c:v>财政拨款</c:v>
                </c:pt>
              </c:strCache>
            </c:strRef>
          </c:cat>
          <c:val>
            <c:numRef>
              <c:f>Sheet1!$B$2:$B$5</c:f>
              <c:numCache>
                <c:formatCode>General</c:formatCode>
                <c:ptCount val="4"/>
                <c:pt idx="0">
                  <c:v>100</c:v>
                </c:pt>
              </c:numCache>
            </c:numRef>
          </c:val>
        </c:ser>
        <c:dLbls>
          <c:showLegendKey val="0"/>
          <c:showVal val="0"/>
          <c:showCatName val="0"/>
          <c:showSerName val="0"/>
          <c:showPercent val="0"/>
          <c:showBubbleSize val="0"/>
          <c:showLeaderLines val="1"/>
        </c:dLbls>
        <c:firstSliceAng val="15"/>
      </c:pieChart>
      <c:spPr>
        <a:noFill/>
        <a:ln>
          <a:noFill/>
        </a:ln>
        <a:effectLst/>
      </c:spPr>
    </c:plotArea>
    <c:legend>
      <c:legendPos val="r"/>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zero"/>
    <c:showDLblsOverMax val="0"/>
  </c:chart>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txPr>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p>
      </c:txPr>
    </c:title>
    <c:autoTitleDeleted val="0"/>
    <c:plotArea>
      <c:layout>
        <c:manualLayout>
          <c:layoutTarget val="inner"/>
          <c:xMode val="edge"/>
          <c:yMode val="edge"/>
          <c:x val="0.103012642998823"/>
          <c:y val="0.330945893642054"/>
          <c:w val="0.764607889904718"/>
          <c:h val="0.669054106357948"/>
        </c:manualLayout>
      </c:layout>
      <c:pieChart>
        <c:varyColors val="1"/>
        <c:ser>
          <c:idx val="0"/>
          <c:order val="0"/>
          <c:tx>
            <c:strRef>
              <c:f>Sheet1!$B$1</c:f>
              <c:strCache>
                <c:ptCount val="1"/>
                <c:pt idx="0">
                  <c:v>支出构成情况（按支出性质）</c:v>
                </c:pt>
              </c:strCache>
            </c:strRef>
          </c:tx>
          <c:explosion val="0"/>
          <c:dPt>
            <c:idx val="0"/>
            <c:bubble3D val="0"/>
          </c:dPt>
          <c:dPt>
            <c:idx val="1"/>
            <c:bubble3D val="0"/>
          </c:dPt>
          <c:dLbls>
            <c:delete val="1"/>
          </c:dLbls>
          <c:cat>
            <c:strRef>
              <c:f>Sheet1!$A$2:$A$3</c:f>
              <c:strCache>
                <c:ptCount val="2"/>
                <c:pt idx="0">
                  <c:v>基本支出</c:v>
                </c:pt>
                <c:pt idx="1">
                  <c:v>项目支出</c:v>
                </c:pt>
              </c:strCache>
            </c:strRef>
          </c:cat>
          <c:val>
            <c:numRef>
              <c:f>Sheet1!$B$2:$B$3</c:f>
              <c:numCache>
                <c:formatCode>General</c:formatCode>
                <c:ptCount val="2"/>
                <c:pt idx="0">
                  <c:v>602.809999999999</c:v>
                </c:pt>
                <c:pt idx="1">
                  <c:v>4370.98</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txPr>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p>
      </c:txPr>
    </c:title>
    <c:autoTitleDeleted val="0"/>
    <c:plotArea>
      <c:layout/>
      <c:barChart>
        <c:barDir val="col"/>
        <c:grouping val="clustered"/>
        <c:varyColors val="0"/>
        <c:ser>
          <c:idx val="0"/>
          <c:order val="0"/>
          <c:tx>
            <c:strRef>
              <c:f>Sheet1!$B$1</c:f>
              <c:strCache>
                <c:ptCount val="1"/>
                <c:pt idx="0">
                  <c:v>2017年-2018年财政拨款收支情况</c:v>
                </c:pt>
              </c:strCache>
            </c:strRef>
          </c:tx>
          <c:invertIfNegative val="0"/>
          <c:dLbls>
            <c:delete val="1"/>
          </c:dLbls>
          <c:cat>
            <c:strRef>
              <c:f>Sheet1!$A$2:$A$5</c:f>
              <c:strCache>
                <c:ptCount val="4"/>
                <c:pt idx="0">
                  <c:v>2018年度收入</c:v>
                </c:pt>
                <c:pt idx="1">
                  <c:v>2017年度收入</c:v>
                </c:pt>
                <c:pt idx="2">
                  <c:v>2018年度支出</c:v>
                </c:pt>
                <c:pt idx="3">
                  <c:v>2017年度支出</c:v>
                </c:pt>
              </c:strCache>
            </c:strRef>
          </c:cat>
          <c:val>
            <c:numRef>
              <c:f>Sheet1!$B$2:$B$5</c:f>
              <c:numCache>
                <c:formatCode>General</c:formatCode>
                <c:ptCount val="4"/>
                <c:pt idx="0">
                  <c:v>4474.08</c:v>
                </c:pt>
                <c:pt idx="1">
                  <c:v>4349.27</c:v>
                </c:pt>
                <c:pt idx="2">
                  <c:v>4973.8</c:v>
                </c:pt>
                <c:pt idx="3">
                  <c:v>4127.2</c:v>
                </c:pt>
              </c:numCache>
            </c:numRef>
          </c:val>
        </c:ser>
        <c:dLbls>
          <c:showLegendKey val="0"/>
          <c:showVal val="0"/>
          <c:showCatName val="0"/>
          <c:showSerName val="0"/>
          <c:showPercent val="0"/>
          <c:showBubbleSize val="0"/>
        </c:dLbls>
        <c:gapWidth val="150"/>
        <c:axId val="189033472"/>
        <c:axId val="189051648"/>
      </c:barChart>
      <c:catAx>
        <c:axId val="189033472"/>
        <c:scaling>
          <c:orientation val="minMax"/>
        </c:scaling>
        <c:delete val="0"/>
        <c:axPos val="b"/>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89051648"/>
        <c:crosses val="autoZero"/>
        <c:auto val="1"/>
        <c:lblAlgn val="ctr"/>
        <c:lblOffset val="100"/>
        <c:noMultiLvlLbl val="0"/>
      </c:catAx>
      <c:valAx>
        <c:axId val="189051648"/>
        <c:scaling>
          <c:orientation val="minMax"/>
        </c:scaling>
        <c:delete val="0"/>
        <c:axPos val="l"/>
        <c:majorGridlines/>
        <c:numFmt formatCode="General" sourceLinked="1"/>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89033472"/>
        <c:crosses val="autoZero"/>
        <c:crossBetween val="between"/>
      </c:valAx>
    </c:plotArea>
    <c:legend>
      <c:legendPos val="r"/>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txPr>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p>
      </c:txPr>
    </c:title>
    <c:autoTitleDeleted val="0"/>
    <c:plotArea>
      <c:layout/>
      <c:barChart>
        <c:barDir val="col"/>
        <c:grouping val="clustered"/>
        <c:varyColors val="0"/>
        <c:ser>
          <c:idx val="0"/>
          <c:order val="0"/>
          <c:tx>
            <c:strRef>
              <c:f>Sheet1!$B$1</c:f>
              <c:strCache>
                <c:ptCount val="1"/>
                <c:pt idx="0">
                  <c:v>财政拨款收支预决算对比</c:v>
                </c:pt>
              </c:strCache>
            </c:strRef>
          </c:tx>
          <c:invertIfNegative val="0"/>
          <c:dLbls>
            <c:delete val="1"/>
          </c:dLbls>
          <c:cat>
            <c:strRef>
              <c:f>Sheet1!$A$2:$A$5</c:f>
              <c:strCache>
                <c:ptCount val="4"/>
                <c:pt idx="0">
                  <c:v>收入预算数</c:v>
                </c:pt>
                <c:pt idx="1">
                  <c:v>收入决算数</c:v>
                </c:pt>
                <c:pt idx="2">
                  <c:v>支出预算数</c:v>
                </c:pt>
                <c:pt idx="3">
                  <c:v>支出决算数</c:v>
                </c:pt>
              </c:strCache>
            </c:strRef>
          </c:cat>
          <c:val>
            <c:numRef>
              <c:f>Sheet1!$B$2:$B$5</c:f>
              <c:numCache>
                <c:formatCode>General</c:formatCode>
                <c:ptCount val="4"/>
                <c:pt idx="0">
                  <c:v>2404.43</c:v>
                </c:pt>
                <c:pt idx="1">
                  <c:v>4474.08</c:v>
                </c:pt>
                <c:pt idx="2">
                  <c:v>2404.43</c:v>
                </c:pt>
                <c:pt idx="3">
                  <c:v>4973.8</c:v>
                </c:pt>
              </c:numCache>
            </c:numRef>
          </c:val>
        </c:ser>
        <c:dLbls>
          <c:showLegendKey val="0"/>
          <c:showVal val="0"/>
          <c:showCatName val="0"/>
          <c:showSerName val="0"/>
          <c:showPercent val="0"/>
          <c:showBubbleSize val="0"/>
        </c:dLbls>
        <c:gapWidth val="150"/>
        <c:axId val="218952448"/>
        <c:axId val="218953984"/>
      </c:barChart>
      <c:catAx>
        <c:axId val="218952448"/>
        <c:scaling>
          <c:orientation val="minMax"/>
        </c:scaling>
        <c:delete val="0"/>
        <c:axPos val="b"/>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18953984"/>
        <c:crosses val="autoZero"/>
        <c:auto val="1"/>
        <c:lblAlgn val="ctr"/>
        <c:lblOffset val="100"/>
        <c:noMultiLvlLbl val="0"/>
      </c:catAx>
      <c:valAx>
        <c:axId val="218953984"/>
        <c:scaling>
          <c:orientation val="minMax"/>
        </c:scaling>
        <c:delete val="0"/>
        <c:axPos val="l"/>
        <c:majorGridlines/>
        <c:numFmt formatCode="General" sourceLinked="1"/>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18952448"/>
        <c:crosses val="autoZero"/>
        <c:crossBetween val="between"/>
      </c:valAx>
    </c:plotArea>
    <c:legend>
      <c:legendPos val="r"/>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txPr>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p>
      </c:txPr>
    </c:title>
    <c:autoTitleDeleted val="0"/>
    <c:plotArea>
      <c:layout/>
      <c:pieChart>
        <c:varyColors val="1"/>
        <c:ser>
          <c:idx val="0"/>
          <c:order val="0"/>
          <c:tx>
            <c:strRef>
              <c:f>Sheet1!$B$1</c:f>
              <c:strCache>
                <c:ptCount val="1"/>
                <c:pt idx="0">
                  <c:v>财政拨款支出决算结构（按功能分类）</c:v>
                </c:pt>
              </c:strCache>
            </c:strRef>
          </c:tx>
          <c:explosion val="0"/>
          <c:dPt>
            <c:idx val="0"/>
            <c:bubble3D val="0"/>
          </c:dPt>
          <c:dPt>
            <c:idx val="1"/>
            <c:bubble3D val="0"/>
          </c:dPt>
          <c:dPt>
            <c:idx val="2"/>
            <c:bubble3D val="0"/>
          </c:dPt>
          <c:dLbls>
            <c:delete val="1"/>
          </c:dLbls>
          <c:cat>
            <c:strRef>
              <c:f>Sheet1!$A$2:$A$4</c:f>
              <c:strCache>
                <c:ptCount val="3"/>
                <c:pt idx="0">
                  <c:v>科学技术类支出</c:v>
                </c:pt>
                <c:pt idx="1">
                  <c:v>节能环保支出</c:v>
                </c:pt>
                <c:pt idx="2">
                  <c:v>农林水支出</c:v>
                </c:pt>
              </c:strCache>
            </c:strRef>
          </c:cat>
          <c:val>
            <c:numRef>
              <c:f>Sheet1!$B$2:$B$4</c:f>
              <c:numCache>
                <c:formatCode>General</c:formatCode>
                <c:ptCount val="3"/>
                <c:pt idx="0">
                  <c:v>7.04</c:v>
                </c:pt>
                <c:pt idx="1">
                  <c:v>6.7</c:v>
                </c:pt>
                <c:pt idx="2">
                  <c:v>86.26</c:v>
                </c:pt>
              </c:numCache>
            </c:numRef>
          </c:val>
        </c:ser>
        <c:dLbls>
          <c:showLegendKey val="0"/>
          <c:showVal val="0"/>
          <c:showCatName val="0"/>
          <c:showSerName val="0"/>
          <c:showPercent val="0"/>
          <c:showBubbleSize val="0"/>
          <c:showLeaderLines val="1"/>
        </c:dLbls>
        <c:firstSliceAng val="15"/>
      </c:pieChart>
      <c:spPr>
        <a:noFill/>
        <a:ln>
          <a:noFill/>
        </a:ln>
        <a:effectLst/>
      </c:spPr>
    </c:plotArea>
    <c:legend>
      <c:legendPos val="r"/>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zero"/>
    <c:showDLblsOverMax val="0"/>
  </c:chart>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ops>
  <customShpExts>
    <customShpInfo spid="_x0000_s1026"/>
    <customShpInfo spid="_x0000_s1064"/>
    <customShpInfo spid="_x0000_s1063"/>
    <customShpInfo spid="_x0000_s1062"/>
    <customShpInfo spid="_x0000_s1061"/>
    <customShpInfo spid="_x0000_s1060"/>
    <customShpInfo spid="_x0000_s1059"/>
    <customShpInfo spid="_x0000_s1058"/>
    <customShpInfo spid="_x0000_s1057"/>
    <customShpInfo spid="_x0000_s1056"/>
    <customShpInfo spid="_x0000_s1055"/>
    <customShpInfo spid="_x0000_s1054"/>
    <customShpInfo spid="_x0000_s1053"/>
    <customShpInfo spid="_x0000_s1052"/>
    <customShpInfo spid="_x0000_s1051"/>
    <customShpInfo spid="_x0000_s1050"/>
    <customShpInfo spid="_x0000_s1049"/>
    <customShpInfo spid="_x0000_s1048"/>
    <customShpInfo spid="_x0000_s1047"/>
    <customShpInfo spid="_x0000_s1046"/>
    <customShpInfo spid="_x0000_s1045"/>
    <customShpInfo spid="_x0000_s1044"/>
    <customShpInfo spid="_x0000_s1043"/>
    <customShpInfo spid="_x0000_s1042"/>
    <customShpInfo spid="_x0000_s1041"/>
    <customShpInfo spid="_x0000_s1040"/>
    <customShpInfo spid="_x0000_s1039"/>
    <customShpInfo spid="_x0000_s1038"/>
    <customShpInfo spid="_x0000_s1037"/>
    <customShpInfo spid="_x0000_s1036"/>
    <customShpInfo spid="_x0000_s1035"/>
    <customShpInfo spid="_x0000_s1034"/>
    <customShpInfo spid="_x0000_s1033"/>
    <customShpInfo spid="_x0000_s1032"/>
    <customShpInfo spid="_x0000_s1031"/>
    <customShpInfo spid="_x0000_s1030"/>
    <customShpInfo spid="_x0000_s1029"/>
    <customShpInfo spid="_x0000_s1028"/>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overPageProperties xmlns="http://schemas.microsoft.com/office/2006/coverPageProps">
  <PublishDate>2017</PublishDate>
  <Abstract/>
  <CompanyAddress/>
  <CompanyPhone/>
  <CompanyFax/>
  <CompanyEmail/>
</CoverPag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3E358C8-8843-4B1E-867D-37233E7E297B}">
  <ds:schemaRefs/>
</ds:datastoreItem>
</file>

<file path=customXml/itemProps3.xml><?xml version="1.0" encoding="utf-8"?>
<ds:datastoreItem xmlns:ds="http://schemas.openxmlformats.org/officeDocument/2006/customXml" ds:itemID="{55AF091B-3C7A-41E3-B477-F2FDAA23CFD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23</Pages>
  <Words>736</Words>
  <Characters>4197</Characters>
  <Lines>34</Lines>
  <Paragraphs>9</Paragraphs>
  <TotalTime>1</TotalTime>
  <ScaleCrop>false</ScaleCrop>
  <LinksUpToDate>false</LinksUpToDate>
  <CharactersWithSpaces>4924</CharactersWithSpaces>
  <Application>WPS Office_11.1.0.10356_F1E327BC-269C-435d-A152-05C5408002CA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2019-08-28T08:40:00Z</dcterms:created>
  <dc:creator>User</dc:creator>
  <cp:lastModifiedBy>许会娜</cp:lastModifiedBy>
  <cp:lastPrinted>2019-10-28T02:27:00Z</cp:lastPrinted>
  <dcterms:modified xsi:type="dcterms:W3CDTF">2021-06-16T17:34:23Z</dcterms:modified>
  <dc:subject>石家庄市xxx部门</dc:subject>
  <dc:title>2017年度部门决算</dc:title>
  <cp:revision>41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2052-11.1.0.10356</vt:lpwstr>
  </property>
  <property fmtid="{D5CDD505-2E9C-101B-9397-08002B2CF9AE}" pid="3" name="ICV">
    <vt:lpwstr>0C52A8F4C98C40B194FB749E09FF35EA</vt:lpwstr>
  </property>
</Properties>
</file>