
<file path=[Content_Types].xml><?xml version="1.0" encoding="utf-8"?>
<Types xmlns="http://schemas.openxmlformats.org/package/2006/content-types">
  <Default Extension="xml" ContentType="application/xml"/>
  <Default Extension="emf" ContentType="image/x-emf"/>
  <Default Extension="gif" ContentType="image/gi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w:t>
                  </w:r>
                  <w:r>
                    <w:rPr>
                      <w:rFonts w:hint="eastAsia" w:ascii="楷体_GB2312" w:hAnsi="楷体_GB2312" w:eastAsia="楷体_GB2312" w:cs="楷体_GB2312"/>
                      <w:color w:val="000000" w:themeColor="text1"/>
                      <w:kern w:val="0"/>
                      <w:sz w:val="44"/>
                      <w:szCs w:val="44"/>
                      <w:lang w:eastAsia="zh-CN"/>
                    </w:rPr>
                    <w:t>九</w:t>
                  </w:r>
                  <w:r>
                    <w:rPr>
                      <w:rFonts w:hint="eastAsia" w:ascii="楷体_GB2312" w:hAnsi="楷体_GB2312" w:eastAsia="楷体_GB2312" w:cs="楷体_GB2312"/>
                      <w:color w:val="000000" w:themeColor="text1"/>
                      <w:kern w:val="0"/>
                      <w:sz w:val="44"/>
                      <w:szCs w:val="44"/>
                    </w:rPr>
                    <w:t>月</w:t>
                  </w:r>
                </w:p>
              </w:txbxContent>
            </v:textbox>
          </v:shape>
        </w:pict>
      </w:r>
      <w:r>
        <w:pict>
          <v:shape id="椭圆 8" o:spid="_x0000_s1051" o:spt="3" type="#_x0000_t3" style="position:absolute;left:0pt;margin-left:53.5pt;margin-top:232.45pt;height:121.95pt;width:121.95pt;z-index:251661312;v-text-anchor:middle;mso-width-relative:page;mso-height-relative:page;"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focussize="0,0"/>
            <v:stroke on="f" weight="1pt" joinstyle="miter"/>
            <v:imagedata o:title=""/>
            <o:lock v:ext="edit"/>
            <v:textbox>
              <w:txbxContent>
                <w:p>
                  <w:pPr>
                    <w:jc w:val="center"/>
                  </w:pPr>
                </w:p>
              </w:txbxContent>
            </v:textbox>
          </v:shape>
        </w:pict>
      </w:r>
      <w:r>
        <w:pict>
          <v:rect id="矩形 14" o:spid="_x0000_s1050"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9"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46" o:spid="_x0000_s1046" o:spt="203" style="position:absolute;left:0pt;margin-left:1.25pt;margin-top:821.7pt;height:21.45pt;width:595.25pt;z-index:251662336;mso-width-relative:page;mso-height-relative:page;" coordorigin="1483,16692" coordsize="11905,429203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3" o:spid="_x0000_s1043" o:spt="203" style="position:absolute;left:0pt;margin-left:-2.5pt;margin-top:-3.35pt;height:69.6pt;width:600.25pt;z-index:-251649024;mso-width-relative:page;mso-height-relative:page;" coordorigin="13622,-66719" coordsize="12005,1392046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4" o:spid="_x0000_s1044"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4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highlight w:val="yellow"/>
        </w:rPr>
        <w:t>高邑县计划生育协会</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41" o:spid="_x0000_s104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o:title="image2" focussize="0,0" r:id="rId29"/>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1273" w:firstLineChars="398"/>
        <w:rPr>
          <w:rFonts w:eastAsia="仿宋_GB2312"/>
          <w:sz w:val="32"/>
          <w:szCs w:val="32"/>
        </w:rPr>
      </w:pPr>
      <w:r>
        <w:rPr>
          <w:rFonts w:hint="eastAsia" w:eastAsia="仿宋_GB2312" w:cs="仿宋_GB2312"/>
          <w:sz w:val="32"/>
          <w:szCs w:val="32"/>
        </w:rPr>
        <w:t>一、部门职责</w:t>
      </w:r>
    </w:p>
    <w:p>
      <w:pPr>
        <w:numPr>
          <w:ilvl w:val="0"/>
          <w:numId w:val="1"/>
        </w:numPr>
        <w:ind w:firstLine="560"/>
        <w:rPr>
          <w:rFonts w:ascii="仿宋_GB2312" w:hAnsi="仿宋_GB2312" w:eastAsia="仿宋_GB2312"/>
          <w:sz w:val="32"/>
          <w:szCs w:val="32"/>
        </w:rPr>
      </w:pPr>
      <w:r>
        <w:rPr>
          <w:rFonts w:hint="eastAsia" w:ascii="仿宋_GB2312" w:hAnsi="仿宋_GB2312" w:eastAsia="仿宋_GB2312" w:cs="仿宋_GB2312"/>
          <w:sz w:val="32"/>
          <w:szCs w:val="32"/>
        </w:rPr>
        <w:t>组织各级协会工作人员和志愿者学习国家计划生育政策和有关的法律、法规、规章、提高民主参与和民主监督的能力和水平。</w:t>
      </w:r>
    </w:p>
    <w:p>
      <w:pPr>
        <w:numPr>
          <w:ilvl w:val="0"/>
          <w:numId w:val="1"/>
        </w:numPr>
        <w:ind w:firstLine="560"/>
        <w:rPr>
          <w:rFonts w:ascii="仿宋_GB2312" w:hAnsi="仿宋_GB2312" w:eastAsia="仿宋_GB2312"/>
          <w:sz w:val="32"/>
          <w:szCs w:val="32"/>
        </w:rPr>
      </w:pPr>
      <w:r>
        <w:rPr>
          <w:rFonts w:hint="eastAsia" w:ascii="仿宋_GB2312" w:hAnsi="仿宋_GB2312" w:eastAsia="仿宋_GB2312" w:cs="仿宋_GB2312"/>
          <w:sz w:val="32"/>
          <w:szCs w:val="32"/>
        </w:rPr>
        <w:t>监督、检查本级和下级计划生育协会工作人员，依法行使民主参与和民主监督职能的工作。</w:t>
      </w:r>
    </w:p>
    <w:p>
      <w:pPr>
        <w:rPr>
          <w:rFonts w:ascii="仿宋_GB2312" w:hAnsi="仿宋_GB2312" w:eastAsia="仿宋_GB2312"/>
          <w:sz w:val="32"/>
          <w:szCs w:val="32"/>
        </w:rPr>
      </w:pP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（三）建立收集群众意见和建议的多种渠道，保证群众的意见和建议能够及时、准确、顺畅地反映上来。</w:t>
      </w:r>
    </w:p>
    <w:p>
      <w:pPr>
        <w:ind w:firstLine="560"/>
        <w:rPr>
          <w:rFonts w:ascii="仿宋_GB2312" w:hAnsi="仿宋_GB2312" w:eastAsia="仿宋_GB2312"/>
          <w:sz w:val="32"/>
          <w:szCs w:val="32"/>
        </w:rPr>
      </w:pPr>
      <w:r>
        <w:rPr>
          <w:rFonts w:hint="eastAsia" w:ascii="仿宋_GB2312" w:hAnsi="仿宋_GB2312" w:eastAsia="仿宋_GB2312" w:cs="仿宋_GB2312"/>
          <w:sz w:val="32"/>
          <w:szCs w:val="32"/>
        </w:rPr>
        <w:t>（四）对经过各种渠道收集的群众意见进行汇总、核实、整理和分析，将有代表的意见和问题，经过调查报告、提案、建议等书面形式，向本级政府和有关部门反映，使群众的意见和要求能得到及时处理和解决。</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 xml:space="preserve"> 个，具体情况如下：</w:t>
      </w:r>
    </w:p>
    <w:tbl>
      <w:tblPr>
        <w:tblStyle w:val="10"/>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高邑县计划生育协会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参公事业单位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o:title="image2" focussize="0,0" r:id="rId29"/>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44.53</w:t>
      </w:r>
      <w:r>
        <w:rPr>
          <w:rFonts w:hint="eastAsia" w:ascii="仿宋_GB2312" w:hAnsi="Times New Roman" w:eastAsia="仿宋_GB2312" w:cs="DengXian-Regular"/>
          <w:sz w:val="32"/>
          <w:szCs w:val="32"/>
        </w:rPr>
        <w:t>万元。与2018年度决算相比，收入增加2.74万元，增长</w:t>
      </w:r>
      <w:r>
        <w:rPr>
          <w:rFonts w:hint="eastAsia" w:ascii="仿宋_GB2312" w:hAnsi="Times New Roman" w:eastAsia="仿宋_GB2312" w:cs="DengXian-Regular"/>
          <w:sz w:val="32"/>
          <w:szCs w:val="32"/>
          <w:lang w:val="en-US" w:eastAsia="zh-CN"/>
        </w:rPr>
        <w:t>6.5</w:t>
      </w:r>
      <w:r>
        <w:rPr>
          <w:rFonts w:hint="eastAsia" w:ascii="仿宋_GB2312" w:hAnsi="Times New Roman" w:eastAsia="仿宋_GB2312" w:cs="DengXian-Regular"/>
          <w:sz w:val="32"/>
          <w:szCs w:val="32"/>
        </w:rPr>
        <w:t>%，主要原因是人员工资的增加；与2018年度决算相比，支出增加</w:t>
      </w:r>
      <w:r>
        <w:rPr>
          <w:rFonts w:hint="eastAsia" w:ascii="仿宋_GB2312" w:hAnsi="Times New Roman" w:eastAsia="仿宋_GB2312" w:cs="DengXian-Regular"/>
          <w:sz w:val="32"/>
          <w:szCs w:val="32"/>
          <w:lang w:val="en-US" w:eastAsia="zh-CN"/>
        </w:rPr>
        <w:t>3.46万元，增长8.4%</w:t>
      </w:r>
      <w:r>
        <w:rPr>
          <w:rFonts w:hint="eastAsia" w:ascii="仿宋_GB2312" w:hAnsi="Times New Roman" w:eastAsia="仿宋_GB2312" w:cs="DengXian-Regular"/>
          <w:sz w:val="32"/>
          <w:szCs w:val="32"/>
        </w:rPr>
        <w:t>，主要原因是人员工资的增加。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本部门2019年度本年收入合计43.81万元，其中：财政拨款收入43.81万元，占100%。比年初预算减少13.37万元，决算数小于预算数的主要原因是人员减少。</w: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本部门2019年度本年支出合计44.53万元，其中：基本支出44.53万元，占100%；完成年初预算的7</w:t>
      </w:r>
      <w:r>
        <w:rPr>
          <w:rFonts w:hint="eastAsia" w:ascii="仿宋_GB2312" w:hAnsi="Times New Roman" w:eastAsia="仿宋_GB2312" w:cs="DengXian-Regular"/>
          <w:sz w:val="32"/>
          <w:szCs w:val="32"/>
          <w:lang w:val="en-US" w:eastAsia="zh-CN"/>
        </w:rPr>
        <w:t>7.87%</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12.65</w:t>
      </w:r>
      <w:r>
        <w:rPr>
          <w:rFonts w:hint="eastAsia" w:ascii="仿宋_GB2312" w:hAnsi="Times New Roman" w:eastAsia="仿宋_GB2312" w:cs="DengXian-Regular"/>
          <w:sz w:val="32"/>
          <w:szCs w:val="32"/>
        </w:rPr>
        <w:t>万元，决算小于预算的主要原因是人员减少。</w:t>
      </w:r>
      <w:r>
        <w:rPr>
          <w:rFonts w:ascii="仿宋_GB2312" w:hAnsi="Times New Roman" w:eastAsia="仿宋_GB2312" w:cs="DengXian-Regular"/>
          <w:sz w:val="32"/>
          <w:szCs w:val="32"/>
        </w:rPr>
        <w:t xml:space="preserve"> </w: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本部门2019年度形成的财政拨款收支均为一般公共预算财政拨款，其中本年收入43.81万元,比2018年度增加2.</w:t>
      </w:r>
      <w:r>
        <w:rPr>
          <w:rFonts w:hint="eastAsia" w:ascii="仿宋_GB2312" w:hAnsi="Times New Roman" w:eastAsia="仿宋_GB2312" w:cs="DengXian-Regular"/>
          <w:sz w:val="32"/>
          <w:szCs w:val="32"/>
          <w:lang w:val="en-US" w:eastAsia="zh-CN"/>
        </w:rPr>
        <w:t>74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6.6</w:t>
      </w:r>
      <w:r>
        <w:rPr>
          <w:rFonts w:hint="eastAsia" w:ascii="仿宋_GB2312" w:hAnsi="Times New Roman" w:eastAsia="仿宋_GB2312" w:cs="DengXian-Regular"/>
          <w:sz w:val="32"/>
          <w:szCs w:val="32"/>
        </w:rPr>
        <w:t>%，主要是人员工资的增加；本年支出44.53万元，比2018年度增加3.46万元，增长8.4%，主要是人员工资的增加。</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251693056" behindDoc="0" locked="0" layoutInCell="1" allowOverlap="1">
            <wp:simplePos x="0" y="0"/>
            <wp:positionH relativeFrom="margin">
              <wp:align>center</wp:align>
            </wp:positionH>
            <wp:positionV relativeFrom="margin">
              <wp:align>center</wp:align>
            </wp:positionV>
            <wp:extent cx="4593590" cy="2823845"/>
            <wp:effectExtent l="19050" t="0" r="0" b="0"/>
            <wp:wrapSquare wrapText="bothSides"/>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noChangeArrowheads="1"/>
                    </pic:cNvPicPr>
                  </pic:nvPicPr>
                  <pic:blipFill>
                    <a:blip r:embed="rId30" cstate="print"/>
                    <a:srcRect/>
                    <a:stretch>
                      <a:fillRect/>
                    </a:stretch>
                  </pic:blipFill>
                  <pic:spPr>
                    <a:xfrm>
                      <a:off x="0" y="0"/>
                      <a:ext cx="4593291" cy="2823883"/>
                    </a:xfrm>
                    <a:prstGeom prst="rect">
                      <a:avLst/>
                    </a:prstGeom>
                    <a:noFill/>
                  </pic:spPr>
                </pic:pic>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43.81万元，完成年初预算的76.6%（如图4）,比年初预算减少13.37万元，决算数小于预算数主要原因是节约经费开支；本年支出44.53万元，完成年初预算的77.8%,比年初预算减少12.65万元，决算数小于预算数主要原因是主要是节约经费开支。</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margin">
              <wp:align>center</wp:align>
            </wp:positionH>
            <wp:positionV relativeFrom="margin">
              <wp:align>top</wp:align>
            </wp:positionV>
            <wp:extent cx="5268595" cy="3957955"/>
            <wp:effectExtent l="19050" t="0" r="27604" b="4407"/>
            <wp:wrapSquare wrapText="bothSides"/>
            <wp:docPr id="1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年度财政拨款支出44.53万元，主要用于以下方面一般公共服务（类）支出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 xml:space="preserve">%，；公共安全类（类）支出0万元，占0%；教育（类）支出0万元，占0%；科学技术（类）支出0万元，占0%；社会保障和就业（类）支出 </w:t>
      </w:r>
      <w:r>
        <w:rPr>
          <w:rFonts w:hint="eastAsia" w:ascii="仿宋_GB2312" w:hAnsi="Times New Roman" w:eastAsia="仿宋_GB2312" w:cs="DengXian-Regular"/>
          <w:sz w:val="32"/>
          <w:szCs w:val="32"/>
          <w:lang w:val="en-US" w:eastAsia="zh-CN"/>
        </w:rPr>
        <w:t>6.65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14.9</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4.54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卫生与健康支出</w:t>
      </w:r>
      <w:r>
        <w:rPr>
          <w:rFonts w:hint="eastAsia" w:ascii="仿宋_GB2312" w:hAnsi="Times New Roman" w:eastAsia="仿宋_GB2312" w:cs="DengXian-Regular"/>
          <w:sz w:val="32"/>
          <w:szCs w:val="32"/>
          <w:lang w:val="en-US" w:eastAsia="zh-CN"/>
        </w:rPr>
        <w:t>33.37万元，占74.9%</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44.53万元，其中：人员经费35.73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8.8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本部门2019年度“三公”经费支出共计0万元，完成预算的0%,较预算增加0万元，增长0%，主要是未发生三公务用车购置等支出；较2018年度增加0万元，增长0%，主要是未发生三公务用车购置等支出。具体情况如下：</w:t>
      </w:r>
    </w:p>
    <w:p>
      <w:pPr>
        <w:adjustRightInd w:val="0"/>
        <w:snapToGrid w:val="0"/>
        <w:spacing w:line="580" w:lineRule="exact"/>
        <w:ind w:firstLine="643" w:firstLineChars="200"/>
        <w:rPr>
          <w:rFonts w:ascii="仿宋_GB2312" w:eastAsia="仿宋_GB2312"/>
          <w:sz w:val="32"/>
          <w:szCs w:val="32"/>
        </w:rPr>
      </w:pPr>
      <w:r>
        <w:rPr>
          <w:rFonts w:hint="eastAsia" w:ascii="楷体_GB2312" w:hAnsi="Times New Roman" w:eastAsia="楷体_GB2312" w:cs="DengXian-Bold"/>
          <w:b/>
          <w:bCs/>
          <w:sz w:val="32"/>
          <w:szCs w:val="32"/>
        </w:rPr>
        <w:t>（一）因公出国（境）费支出0万元。</w:t>
      </w:r>
      <w:r>
        <w:rPr>
          <w:rFonts w:hint="eastAsia" w:ascii="仿宋_GB2312" w:eastAsia="仿宋_GB2312" w:cs="仿宋_GB2312"/>
          <w:sz w:val="32"/>
          <w:szCs w:val="32"/>
        </w:rPr>
        <w:t>本部门</w:t>
      </w:r>
      <w:r>
        <w:rPr>
          <w:rFonts w:ascii="仿宋_GB2312" w:eastAsia="仿宋_GB2312" w:cs="仿宋_GB2312"/>
          <w:sz w:val="32"/>
          <w:szCs w:val="32"/>
        </w:rPr>
        <w:t>201</w:t>
      </w:r>
      <w:r>
        <w:rPr>
          <w:rFonts w:hint="eastAsia" w:ascii="仿宋_GB2312" w:eastAsia="仿宋_GB2312" w:cs="仿宋_GB2312"/>
          <w:sz w:val="32"/>
          <w:szCs w:val="32"/>
        </w:rPr>
        <w:t>9年度因公出国（境）团组</w:t>
      </w:r>
      <w:r>
        <w:rPr>
          <w:rFonts w:ascii="仿宋_GB2312" w:eastAsia="仿宋_GB2312" w:cs="仿宋_GB2312"/>
          <w:sz w:val="32"/>
          <w:szCs w:val="32"/>
        </w:rPr>
        <w:t>0</w:t>
      </w:r>
      <w:r>
        <w:rPr>
          <w:rFonts w:hint="eastAsia" w:ascii="仿宋_GB2312" w:eastAsia="仿宋_GB2312" w:cs="仿宋_GB2312"/>
          <w:sz w:val="32"/>
          <w:szCs w:val="32"/>
        </w:rPr>
        <w:t>个、共</w:t>
      </w:r>
      <w:r>
        <w:rPr>
          <w:rFonts w:ascii="仿宋_GB2312" w:eastAsia="仿宋_GB2312" w:cs="仿宋_GB2312"/>
          <w:sz w:val="32"/>
          <w:szCs w:val="32"/>
        </w:rPr>
        <w:t>0</w:t>
      </w:r>
      <w:r>
        <w:rPr>
          <w:rFonts w:hint="eastAsia" w:ascii="仿宋_GB2312" w:eastAsia="仿宋_GB2312" w:cs="仿宋_GB2312"/>
          <w:sz w:val="32"/>
          <w:szCs w:val="32"/>
        </w:rPr>
        <w:t>人</w:t>
      </w:r>
      <w:r>
        <w:rPr>
          <w:rFonts w:ascii="仿宋_GB2312" w:eastAsia="仿宋_GB2312" w:cs="仿宋_GB2312"/>
          <w:sz w:val="32"/>
          <w:szCs w:val="32"/>
        </w:rPr>
        <w:t>/</w:t>
      </w:r>
      <w:r>
        <w:rPr>
          <w:rFonts w:hint="eastAsia" w:ascii="仿宋_GB2312" w:eastAsia="仿宋_GB2312" w:cs="仿宋_GB2312"/>
          <w:sz w:val="32"/>
          <w:szCs w:val="32"/>
        </w:rPr>
        <w:t>参加其他单位组织的因公出国（境）团组</w:t>
      </w:r>
      <w:r>
        <w:rPr>
          <w:rFonts w:ascii="仿宋_GB2312" w:eastAsia="仿宋_GB2312" w:cs="仿宋_GB2312"/>
          <w:sz w:val="32"/>
          <w:szCs w:val="32"/>
        </w:rPr>
        <w:t>0</w:t>
      </w:r>
      <w:r>
        <w:rPr>
          <w:rFonts w:hint="eastAsia" w:ascii="仿宋_GB2312" w:eastAsia="仿宋_GB2312" w:cs="仿宋_GB2312"/>
          <w:sz w:val="32"/>
          <w:szCs w:val="32"/>
        </w:rPr>
        <w:t>个、共</w:t>
      </w:r>
      <w:r>
        <w:rPr>
          <w:rFonts w:ascii="仿宋_GB2312" w:eastAsia="仿宋_GB2312" w:cs="仿宋_GB2312"/>
          <w:sz w:val="32"/>
          <w:szCs w:val="32"/>
        </w:rPr>
        <w:t>0</w:t>
      </w:r>
      <w:r>
        <w:rPr>
          <w:rFonts w:hint="eastAsia" w:ascii="仿宋_GB2312" w:eastAsia="仿宋_GB2312" w:cs="仿宋_GB2312"/>
          <w:sz w:val="32"/>
          <w:szCs w:val="32"/>
        </w:rPr>
        <w:t>人</w:t>
      </w:r>
      <w:r>
        <w:rPr>
          <w:rFonts w:ascii="仿宋_GB2312" w:eastAsia="仿宋_GB2312" w:cs="仿宋_GB2312"/>
          <w:sz w:val="32"/>
          <w:szCs w:val="32"/>
        </w:rPr>
        <w:t>/</w:t>
      </w:r>
      <w:r>
        <w:rPr>
          <w:rFonts w:hint="eastAsia" w:ascii="仿宋_GB2312" w:eastAsia="仿宋_GB2312" w:cs="仿宋_GB2312"/>
          <w:sz w:val="32"/>
          <w:szCs w:val="32"/>
        </w:rPr>
        <w:t>无本单位组织的出国（境）团组。因公出国（境）费支出较年初预算增加</w:t>
      </w:r>
      <w:r>
        <w:rPr>
          <w:rFonts w:ascii="仿宋_GB2312" w:eastAsia="仿宋_GB2312" w:cs="仿宋_GB2312"/>
          <w:sz w:val="32"/>
          <w:szCs w:val="32"/>
        </w:rPr>
        <w:t>0</w:t>
      </w:r>
      <w:r>
        <w:rPr>
          <w:rFonts w:hint="eastAsia" w:ascii="仿宋_GB2312" w:eastAsia="仿宋_GB2312" w:cs="仿宋_GB2312"/>
          <w:sz w:val="32"/>
          <w:szCs w:val="32"/>
        </w:rPr>
        <w:t>万元，增长</w:t>
      </w:r>
      <w:r>
        <w:rPr>
          <w:rFonts w:ascii="仿宋_GB2312" w:eastAsia="仿宋_GB2312" w:cs="仿宋_GB2312"/>
          <w:sz w:val="32"/>
          <w:szCs w:val="32"/>
        </w:rPr>
        <w:t>0%,</w:t>
      </w:r>
      <w:r>
        <w:rPr>
          <w:rFonts w:hint="eastAsia" w:ascii="仿宋_GB2312" w:eastAsia="仿宋_GB2312" w:cs="仿宋_GB2312"/>
          <w:sz w:val="32"/>
          <w:szCs w:val="32"/>
        </w:rPr>
        <w:t>主要是未发生出国（境）支出</w:t>
      </w:r>
      <w:r>
        <w:rPr>
          <w:rFonts w:hint="eastAsia" w:ascii="仿宋_GB2312" w:eastAsia="仿宋_GB2312" w:cs="仿宋_GB2312"/>
          <w:sz w:val="32"/>
          <w:szCs w:val="32"/>
          <w:lang w:eastAsia="zh-CN"/>
        </w:rPr>
        <w:t>，与年初预算数持平</w:t>
      </w:r>
      <w:r>
        <w:rPr>
          <w:rFonts w:hint="eastAsia" w:ascii="仿宋_GB2312" w:eastAsia="仿宋_GB2312" w:cs="仿宋_GB2312"/>
          <w:sz w:val="32"/>
          <w:szCs w:val="32"/>
        </w:rPr>
        <w:t>。</w:t>
      </w:r>
    </w:p>
    <w:p>
      <w:pPr>
        <w:adjustRightInd w:val="0"/>
        <w:snapToGrid w:val="0"/>
        <w:spacing w:line="580" w:lineRule="exact"/>
        <w:ind w:firstLine="643" w:firstLineChars="200"/>
        <w:rPr>
          <w:rFonts w:ascii="仿宋_GB2312" w:eastAsia="仿宋_GB2312"/>
          <w:b/>
          <w:bCs/>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eastAsia="仿宋_GB2312" w:cs="仿宋_GB2312"/>
          <w:sz w:val="32"/>
          <w:szCs w:val="32"/>
        </w:rPr>
        <w:t>本部门</w:t>
      </w:r>
      <w:r>
        <w:rPr>
          <w:rFonts w:ascii="仿宋_GB2312" w:eastAsia="仿宋_GB2312" w:cs="仿宋_GB2312"/>
          <w:sz w:val="32"/>
          <w:szCs w:val="32"/>
        </w:rPr>
        <w:t>201</w:t>
      </w:r>
      <w:r>
        <w:rPr>
          <w:rFonts w:hint="eastAsia" w:ascii="仿宋_GB2312" w:eastAsia="仿宋_GB2312" w:cs="仿宋_GB2312"/>
          <w:sz w:val="32"/>
          <w:szCs w:val="32"/>
        </w:rPr>
        <w:t>9年度公务用车购置及运行维护费较年初预算减少</w:t>
      </w:r>
      <w:r>
        <w:rPr>
          <w:rFonts w:ascii="仿宋_GB2312" w:eastAsia="仿宋_GB2312" w:cs="仿宋_GB2312"/>
          <w:sz w:val="32"/>
          <w:szCs w:val="32"/>
        </w:rPr>
        <w:t>0</w:t>
      </w:r>
      <w:r>
        <w:rPr>
          <w:rFonts w:hint="eastAsia" w:ascii="仿宋_GB2312" w:eastAsia="仿宋_GB2312" w:cs="仿宋_GB2312"/>
          <w:sz w:val="32"/>
          <w:szCs w:val="32"/>
        </w:rPr>
        <w:t>万元，降低</w:t>
      </w:r>
      <w:r>
        <w:rPr>
          <w:rFonts w:ascii="仿宋_GB2312" w:eastAsia="仿宋_GB2312" w:cs="仿宋_GB2312"/>
          <w:sz w:val="32"/>
          <w:szCs w:val="32"/>
        </w:rPr>
        <w:t>0%,</w:t>
      </w:r>
      <w:r>
        <w:rPr>
          <w:rFonts w:hint="eastAsia" w:ascii="仿宋_GB2312" w:eastAsia="仿宋_GB2312" w:cs="仿宋_GB2312"/>
          <w:sz w:val="32"/>
          <w:szCs w:val="32"/>
        </w:rPr>
        <w:t>主要是未发生公务用车购置。</w:t>
      </w:r>
      <w:r>
        <w:rPr>
          <w:rFonts w:hint="eastAsia" w:ascii="仿宋_GB2312" w:eastAsia="仿宋_GB2312" w:cs="仿宋_GB2312"/>
          <w:b/>
          <w:bCs/>
          <w:sz w:val="32"/>
          <w:szCs w:val="32"/>
        </w:rPr>
        <w:t>其中：公务用车购置费：</w:t>
      </w:r>
      <w:r>
        <w:rPr>
          <w:rFonts w:hint="eastAsia" w:ascii="仿宋_GB2312" w:eastAsia="仿宋_GB2312" w:cs="仿宋_GB2312"/>
          <w:sz w:val="32"/>
          <w:szCs w:val="32"/>
        </w:rPr>
        <w:t>本部门</w:t>
      </w:r>
      <w:r>
        <w:rPr>
          <w:rFonts w:ascii="仿宋_GB2312" w:eastAsia="仿宋_GB2312" w:cs="仿宋_GB2312"/>
          <w:sz w:val="32"/>
          <w:szCs w:val="32"/>
        </w:rPr>
        <w:t>201</w:t>
      </w:r>
      <w:r>
        <w:rPr>
          <w:rFonts w:hint="eastAsia" w:ascii="仿宋_GB2312" w:eastAsia="仿宋_GB2312" w:cs="仿宋_GB2312"/>
          <w:sz w:val="32"/>
          <w:szCs w:val="32"/>
        </w:rPr>
        <w:t>8年度公务用车购置量</w:t>
      </w:r>
      <w:r>
        <w:rPr>
          <w:rFonts w:ascii="仿宋_GB2312" w:eastAsia="仿宋_GB2312" w:cs="仿宋_GB2312"/>
          <w:sz w:val="32"/>
          <w:szCs w:val="32"/>
        </w:rPr>
        <w:t>0</w:t>
      </w:r>
      <w:r>
        <w:rPr>
          <w:rFonts w:hint="eastAsia" w:ascii="仿宋_GB2312" w:eastAsia="仿宋_GB2312" w:cs="仿宋_GB2312"/>
          <w:sz w:val="32"/>
          <w:szCs w:val="32"/>
        </w:rPr>
        <w:t>辆，发生“公务用车购置”经费支出</w:t>
      </w:r>
      <w:r>
        <w:rPr>
          <w:rFonts w:ascii="仿宋_GB2312" w:eastAsia="仿宋_GB2312" w:cs="仿宋_GB2312"/>
          <w:sz w:val="32"/>
          <w:szCs w:val="32"/>
        </w:rPr>
        <w:t>0</w:t>
      </w:r>
      <w:r>
        <w:rPr>
          <w:rFonts w:hint="eastAsia" w:ascii="仿宋_GB2312" w:eastAsia="仿宋_GB2312" w:cs="仿宋_GB2312"/>
          <w:sz w:val="32"/>
          <w:szCs w:val="32"/>
        </w:rPr>
        <w:t>万元。公务用车购置费支出较年初预算增加</w:t>
      </w:r>
      <w:r>
        <w:rPr>
          <w:rFonts w:ascii="仿宋_GB2312" w:eastAsia="仿宋_GB2312" w:cs="仿宋_GB2312"/>
          <w:sz w:val="32"/>
          <w:szCs w:val="32"/>
        </w:rPr>
        <w:t>0</w:t>
      </w:r>
      <w:r>
        <w:rPr>
          <w:rFonts w:hint="eastAsia" w:ascii="仿宋_GB2312" w:eastAsia="仿宋_GB2312" w:cs="仿宋_GB2312"/>
          <w:sz w:val="32"/>
          <w:szCs w:val="32"/>
        </w:rPr>
        <w:t>万元，增长</w:t>
      </w:r>
      <w:r>
        <w:rPr>
          <w:rFonts w:ascii="仿宋_GB2312" w:eastAsia="仿宋_GB2312" w:cs="仿宋_GB2312"/>
          <w:sz w:val="32"/>
          <w:szCs w:val="32"/>
        </w:rPr>
        <w:t>0%,</w:t>
      </w:r>
      <w:r>
        <w:rPr>
          <w:rFonts w:hint="eastAsia" w:ascii="仿宋_GB2312" w:eastAsia="仿宋_GB2312" w:cs="仿宋_GB2312"/>
          <w:sz w:val="32"/>
          <w:szCs w:val="32"/>
        </w:rPr>
        <w:t>主要是未发生公务用车购置，与年初预算持平。</w:t>
      </w:r>
    </w:p>
    <w:p>
      <w:pPr>
        <w:adjustRightInd w:val="0"/>
        <w:snapToGrid w:val="0"/>
        <w:spacing w:line="580" w:lineRule="exact"/>
        <w:ind w:firstLine="643" w:firstLineChars="200"/>
        <w:rPr>
          <w:rFonts w:ascii="仿宋_GB2312" w:hAnsi="Times New Roman" w:eastAsia="仿宋_GB2312" w:cs="DengXian-Regular"/>
          <w:b/>
          <w:sz w:val="32"/>
          <w:szCs w:val="32"/>
        </w:rPr>
      </w:pP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eastAsia="仿宋_GB2312" w:cs="仿宋_GB2312"/>
          <w:b/>
          <w:bCs/>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与年初预算持平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宋体"/>
          <w:sz w:val="32"/>
          <w:szCs w:val="32"/>
        </w:rPr>
      </w:pPr>
    </w:p>
    <w:p>
      <w:pPr>
        <w:adjustRightInd w:val="0"/>
        <w:snapToGrid w:val="0"/>
        <w:spacing w:line="580" w:lineRule="exact"/>
        <w:ind w:firstLine="643" w:firstLineChars="200"/>
        <w:rPr>
          <w:rFonts w:ascii="仿宋_GB2312" w:eastAsia="仿宋_GB2312"/>
          <w:sz w:val="32"/>
          <w:szCs w:val="32"/>
        </w:rPr>
      </w:pPr>
      <w:r>
        <w:rPr>
          <w:rFonts w:hint="eastAsia" w:ascii="楷体_GB2312" w:eastAsia="楷体_GB2312" w:cs="楷体_GB2312"/>
          <w:b/>
          <w:bCs/>
          <w:sz w:val="32"/>
          <w:szCs w:val="32"/>
        </w:rPr>
        <w:t>（三）公务接待费支出</w:t>
      </w:r>
      <w:r>
        <w:rPr>
          <w:rFonts w:ascii="楷体_GB2312" w:eastAsia="楷体_GB2312" w:cs="楷体_GB2312"/>
          <w:b/>
          <w:bCs/>
          <w:sz w:val="32"/>
          <w:szCs w:val="32"/>
        </w:rPr>
        <w:t>0</w:t>
      </w:r>
      <w:r>
        <w:rPr>
          <w:rFonts w:hint="eastAsia" w:ascii="楷体_GB2312" w:eastAsia="楷体_GB2312" w:cs="楷体_GB2312"/>
          <w:b/>
          <w:bCs/>
          <w:sz w:val="32"/>
          <w:szCs w:val="32"/>
        </w:rPr>
        <w:t>万元。</w:t>
      </w:r>
      <w:r>
        <w:rPr>
          <w:rFonts w:ascii="Times New Roman" w:eastAsia="宋体"/>
          <w:szCs w:val="21"/>
        </w:rPr>
        <w:pict>
          <v:group id="_x0000_s1053" o:spid="_x0000_s1053" o:spt="203" style="position:absolute;left:0pt;margin-left:-0.55pt;margin-top:29.3pt;height:43.95pt;width:301.85pt;mso-position-horizontal-relative:page;mso-position-vertical-relative:page;z-index:251692032;mso-width-relative:page;mso-height-relative:page;" coordorigin="4551,52615" coordsize="8546,1398203203">
            <o:lock v:ext="edit"/>
            <v:rect id="矩形 13" o:spid="_x0000_s1054" o:spt="1" style="position:absolute;left:4551;top:52615;height:1175;width:8546;v-text-anchor:middle;" fillcolor="#D9D9D9" filled="t" stroked="f" coordsize="21600,21600">
              <v:path/>
              <v:fill on="t" focussize="0,0"/>
              <v:stroke on="f" weight="2pt"/>
              <v:imagedata o:title=""/>
              <o:lock v:ext="edit"/>
            </v:rect>
            <v:rect id="_x0000_s1055" o:spid="_x0000_s1055"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仿宋_GB2312"/>
          <w:sz w:val="32"/>
          <w:szCs w:val="32"/>
        </w:rPr>
        <w:t>本部门</w:t>
      </w:r>
      <w:r>
        <w:rPr>
          <w:rFonts w:ascii="仿宋_GB2312" w:eastAsia="仿宋_GB2312" w:cs="仿宋_GB2312"/>
          <w:sz w:val="32"/>
          <w:szCs w:val="32"/>
        </w:rPr>
        <w:t>201</w:t>
      </w:r>
      <w:r>
        <w:rPr>
          <w:rFonts w:hint="eastAsia" w:ascii="仿宋_GB2312" w:eastAsia="仿宋_GB2312" w:cs="仿宋_GB2312"/>
          <w:sz w:val="32"/>
          <w:szCs w:val="32"/>
        </w:rPr>
        <w:t>9年度公务接待共</w:t>
      </w:r>
      <w:r>
        <w:rPr>
          <w:rFonts w:ascii="仿宋_GB2312" w:eastAsia="仿宋_GB2312" w:cs="仿宋_GB2312"/>
          <w:sz w:val="32"/>
          <w:szCs w:val="32"/>
        </w:rPr>
        <w:t>0</w:t>
      </w:r>
      <w:r>
        <w:rPr>
          <w:rFonts w:hint="eastAsia" w:ascii="仿宋_GB2312" w:eastAsia="仿宋_GB2312" w:cs="仿宋_GB2312"/>
          <w:sz w:val="32"/>
          <w:szCs w:val="32"/>
        </w:rPr>
        <w:t>批次、</w:t>
      </w:r>
      <w:r>
        <w:rPr>
          <w:rFonts w:ascii="仿宋_GB2312" w:eastAsia="仿宋_GB2312" w:cs="仿宋_GB2312"/>
          <w:sz w:val="32"/>
          <w:szCs w:val="32"/>
        </w:rPr>
        <w:t>0</w:t>
      </w:r>
      <w:r>
        <w:rPr>
          <w:rFonts w:hint="eastAsia" w:ascii="仿宋_GB2312" w:eastAsia="仿宋_GB2312" w:cs="仿宋_GB2312"/>
          <w:sz w:val="32"/>
          <w:szCs w:val="32"/>
        </w:rPr>
        <w:t>人次。公务接待费支出较年初预算增加</w:t>
      </w:r>
      <w:r>
        <w:rPr>
          <w:rFonts w:ascii="仿宋_GB2312" w:eastAsia="仿宋_GB2312" w:cs="仿宋_GB2312"/>
          <w:sz w:val="32"/>
          <w:szCs w:val="32"/>
        </w:rPr>
        <w:t>0</w:t>
      </w:r>
      <w:r>
        <w:rPr>
          <w:rFonts w:hint="eastAsia" w:ascii="仿宋_GB2312" w:eastAsia="仿宋_GB2312" w:cs="仿宋_GB2312"/>
          <w:sz w:val="32"/>
          <w:szCs w:val="32"/>
        </w:rPr>
        <w:t>万元，增长</w:t>
      </w:r>
      <w:r>
        <w:rPr>
          <w:rFonts w:ascii="仿宋_GB2312" w:eastAsia="仿宋_GB2312" w:cs="仿宋_GB2312"/>
          <w:sz w:val="32"/>
          <w:szCs w:val="32"/>
        </w:rPr>
        <w:t>0%,</w:t>
      </w:r>
      <w:r>
        <w:rPr>
          <w:rFonts w:hint="eastAsia" w:ascii="仿宋_GB2312" w:eastAsia="仿宋_GB2312" w:cs="仿宋_GB2312"/>
          <w:sz w:val="32"/>
          <w:szCs w:val="32"/>
        </w:rPr>
        <w:t>主要是未发生公务接待经费支出，与年初预算持平。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00" w:lineRule="exact"/>
        <w:ind w:firstLine="640" w:firstLineChars="200"/>
        <w:rPr>
          <w:rFonts w:ascii="仿宋_GB2312" w:eastAsia="仿宋_GB2312"/>
          <w:color w:val="FF0000"/>
          <w:sz w:val="32"/>
          <w:szCs w:val="32"/>
          <w:shd w:val="pct10" w:color="auto" w:fill="FFFFFF"/>
        </w:rPr>
      </w:pPr>
    </w:p>
    <w:p>
      <w:pPr>
        <w:adjustRightInd w:val="0"/>
        <w:snapToGrid w:val="0"/>
        <w:spacing w:line="500" w:lineRule="exact"/>
        <w:ind w:firstLine="640" w:firstLineChars="200"/>
        <w:rPr>
          <w:rFonts w:ascii="仿宋_GB2312" w:eastAsia="仿宋_GB2312"/>
          <w:sz w:val="32"/>
          <w:szCs w:val="32"/>
          <w:shd w:val="pct10" w:color="auto" w:fill="FFFFFF"/>
        </w:rPr>
      </w:pPr>
      <w:r>
        <w:rPr>
          <w:rFonts w:hint="eastAsia" w:ascii="仿宋_GB2312" w:eastAsia="仿宋_GB2312" w:cs="仿宋_GB2312"/>
          <w:sz w:val="32"/>
          <w:szCs w:val="32"/>
          <w:shd w:val="pct10" w:color="auto" w:fill="FFFFFF"/>
        </w:rPr>
        <w:t>（</w:t>
      </w:r>
      <w:r>
        <w:rPr>
          <w:rFonts w:hint="eastAsia" w:ascii="仿宋_GB2312" w:eastAsia="仿宋_GB2312" w:cs="仿宋_GB2312"/>
          <w:sz w:val="32"/>
          <w:szCs w:val="32"/>
          <w:shd w:val="pct10" w:color="auto" w:fill="FFFFFF"/>
          <w:lang w:eastAsia="zh-CN"/>
        </w:rPr>
        <w:t>一</w:t>
      </w:r>
      <w:r>
        <w:rPr>
          <w:rFonts w:hint="eastAsia" w:ascii="仿宋_GB2312" w:eastAsia="仿宋_GB2312" w:cs="仿宋_GB2312"/>
          <w:sz w:val="32"/>
          <w:szCs w:val="32"/>
          <w:shd w:val="pct10" w:color="auto" w:fill="FFFFFF"/>
        </w:rPr>
        <w:t>）本单位无一般公共预算项目支出。</w:t>
      </w:r>
    </w:p>
    <w:p>
      <w:pPr>
        <w:adjustRightInd w:val="0"/>
        <w:snapToGrid w:val="0"/>
        <w:spacing w:line="500" w:lineRule="exact"/>
        <w:ind w:firstLine="640" w:firstLineChars="200"/>
        <w:rPr>
          <w:rFonts w:ascii="仿宋_GB2312" w:eastAsia="仿宋_GB2312"/>
          <w:sz w:val="32"/>
          <w:szCs w:val="32"/>
          <w:shd w:val="pct10" w:color="auto" w:fill="FFFFFF"/>
        </w:rPr>
      </w:pPr>
      <w:r>
        <w:rPr>
          <w:rFonts w:hint="eastAsia" w:ascii="仿宋_GB2312" w:eastAsia="仿宋_GB2312" w:cs="仿宋_GB2312"/>
          <w:sz w:val="32"/>
          <w:szCs w:val="32"/>
          <w:shd w:val="pct10" w:color="auto" w:fill="FFFFFF"/>
        </w:rPr>
        <w:t>（</w:t>
      </w:r>
      <w:r>
        <w:rPr>
          <w:rFonts w:hint="eastAsia" w:ascii="仿宋_GB2312" w:eastAsia="仿宋_GB2312" w:cs="仿宋_GB2312"/>
          <w:sz w:val="32"/>
          <w:szCs w:val="32"/>
          <w:shd w:val="pct10" w:color="auto" w:fill="FFFFFF"/>
          <w:lang w:eastAsia="zh-CN"/>
        </w:rPr>
        <w:t>二</w:t>
      </w:r>
      <w:r>
        <w:rPr>
          <w:rFonts w:hint="eastAsia" w:ascii="仿宋_GB2312" w:eastAsia="仿宋_GB2312" w:cs="仿宋_GB2312"/>
          <w:sz w:val="32"/>
          <w:szCs w:val="32"/>
          <w:shd w:val="pct10" w:color="auto" w:fill="FFFFFF"/>
        </w:rPr>
        <w:t>）本单位无民生项目和重点支出项目。</w:t>
      </w:r>
    </w:p>
    <w:p>
      <w:pPr>
        <w:adjustRightInd w:val="0"/>
        <w:snapToGrid w:val="0"/>
        <w:spacing w:line="500" w:lineRule="exact"/>
        <w:ind w:firstLine="640" w:firstLineChars="200"/>
        <w:rPr>
          <w:rFonts w:ascii="仿宋_GB2312" w:eastAsia="仿宋_GB2312"/>
          <w:sz w:val="32"/>
          <w:szCs w:val="32"/>
          <w:shd w:val="pct10" w:color="auto" w:fill="FFFFFF"/>
        </w:rPr>
      </w:pPr>
      <w:bookmarkStart w:id="0" w:name="_GoBack"/>
      <w:bookmarkEnd w:id="0"/>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p>
    <w:p>
      <w:pPr>
        <w:keepNext/>
        <w:keepLines/>
        <w:numPr>
          <w:ilvl w:val="0"/>
          <w:numId w:val="3"/>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eastAsia="仿宋_GB2312"/>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eastAsia="仿宋_GB2312" w:cs="仿宋_GB2312"/>
          <w:sz w:val="32"/>
          <w:szCs w:val="32"/>
        </w:rPr>
        <w:t>主要原因无行政运行经费。</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line="580" w:lineRule="exact"/>
        <w:ind w:firstLine="640" w:firstLineChars="200"/>
        <w:jc w:val="left"/>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w:t>
      </w:r>
      <w:r>
        <w:rPr>
          <w:rFonts w:hint="eastAsia" w:ascii="仿宋_GB2312" w:eastAsia="仿宋_GB2312" w:cs="仿宋_GB2312"/>
          <w:sz w:val="32"/>
          <w:szCs w:val="32"/>
        </w:rPr>
        <w:t>9年度政府采购支出总额</w:t>
      </w:r>
      <w:r>
        <w:rPr>
          <w:rFonts w:ascii="仿宋_GB2312" w:eastAsia="仿宋_GB2312" w:cs="仿宋_GB2312"/>
          <w:sz w:val="32"/>
          <w:szCs w:val="32"/>
        </w:rPr>
        <w:t>0</w:t>
      </w:r>
      <w:r>
        <w:rPr>
          <w:rFonts w:hint="eastAsia" w:asci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，其中授予小微企业合同金额</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eastAsia="仿宋_GB2312"/>
          <w:sz w:val="32"/>
          <w:szCs w:val="32"/>
        </w:rPr>
      </w:pPr>
      <w:r>
        <w:rPr>
          <w:rFonts w:hint="eastAsia" w:ascii="仿宋_GB2312" w:eastAsia="仿宋_GB2312" w:cs="仿宋_GB2312"/>
          <w:sz w:val="32"/>
          <w:szCs w:val="32"/>
        </w:rPr>
        <w:t>截至</w:t>
      </w:r>
      <w:r>
        <w:rPr>
          <w:rFonts w:ascii="仿宋_GB2312" w:eastAsia="仿宋_GB2312" w:cs="仿宋_GB2312"/>
          <w:sz w:val="32"/>
          <w:szCs w:val="32"/>
        </w:rPr>
        <w:t>201</w:t>
      </w:r>
      <w:r>
        <w:rPr>
          <w:rFonts w:hint="eastAsia" w:ascii="仿宋_GB2312" w:eastAsia="仿宋_GB2312" w:cs="仿宋_GB2312"/>
          <w:sz w:val="32"/>
          <w:szCs w:val="32"/>
          <w:lang w:val="en-US" w:eastAsia="zh-CN"/>
        </w:rPr>
        <w:t>9</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日，本部门共有车辆</w:t>
      </w:r>
      <w:r>
        <w:rPr>
          <w:rFonts w:ascii="仿宋_GB2312" w:eastAsia="仿宋_GB2312" w:cs="仿宋_GB2312"/>
          <w:sz w:val="32"/>
          <w:szCs w:val="32"/>
        </w:rPr>
        <w:t>0</w:t>
      </w:r>
      <w:r>
        <w:rPr>
          <w:rFonts w:hint="eastAsia" w:ascii="仿宋_GB2312" w:eastAsia="仿宋_GB2312" w:cs="仿宋_GB2312"/>
          <w:sz w:val="32"/>
          <w:szCs w:val="32"/>
        </w:rPr>
        <w:t>辆，比上年增加（减少）辆，主要是未发生车辆购置经费支出。其中，副部（省）级及以上领导用车</w:t>
      </w:r>
      <w:r>
        <w:rPr>
          <w:rFonts w:ascii="仿宋_GB2312" w:eastAsia="仿宋_GB2312" w:cs="仿宋_GB2312"/>
          <w:sz w:val="32"/>
          <w:szCs w:val="32"/>
        </w:rPr>
        <w:t>0</w:t>
      </w:r>
      <w:r>
        <w:rPr>
          <w:rFonts w:hint="eastAsia" w:ascii="仿宋_GB2312" w:eastAsia="仿宋_GB2312" w:cs="仿宋_GB2312"/>
          <w:sz w:val="32"/>
          <w:szCs w:val="32"/>
        </w:rPr>
        <w:t>辆，主要领导干部用车</w:t>
      </w:r>
      <w:r>
        <w:rPr>
          <w:rFonts w:ascii="仿宋_GB2312" w:eastAsia="仿宋_GB2312" w:cs="仿宋_GB2312"/>
          <w:sz w:val="32"/>
          <w:szCs w:val="32"/>
        </w:rPr>
        <w:t>0</w:t>
      </w:r>
      <w:r>
        <w:rPr>
          <w:rFonts w:hint="eastAsia" w:ascii="仿宋_GB2312" w:eastAsia="仿宋_GB2312" w:cs="仿宋_GB2312"/>
          <w:sz w:val="32"/>
          <w:szCs w:val="32"/>
        </w:rPr>
        <w:t>辆，机要通信用车</w:t>
      </w:r>
      <w:r>
        <w:rPr>
          <w:rFonts w:ascii="仿宋_GB2312" w:eastAsia="仿宋_GB2312" w:cs="仿宋_GB2312"/>
          <w:sz w:val="32"/>
          <w:szCs w:val="32"/>
        </w:rPr>
        <w:t>0</w:t>
      </w:r>
      <w:r>
        <w:rPr>
          <w:rFonts w:hint="eastAsia" w:ascii="仿宋_GB2312" w:eastAsia="仿宋_GB2312" w:cs="仿宋_GB2312"/>
          <w:sz w:val="32"/>
          <w:szCs w:val="32"/>
        </w:rPr>
        <w:t>辆，应急保障用车</w:t>
      </w:r>
      <w:r>
        <w:rPr>
          <w:rFonts w:ascii="仿宋_GB2312" w:eastAsia="仿宋_GB2312" w:cs="仿宋_GB2312"/>
          <w:sz w:val="32"/>
          <w:szCs w:val="32"/>
        </w:rPr>
        <w:t>0</w:t>
      </w:r>
      <w:r>
        <w:rPr>
          <w:rFonts w:hint="eastAsia" w:ascii="仿宋_GB2312" w:eastAsia="仿宋_GB2312" w:cs="仿宋_GB2312"/>
          <w:sz w:val="32"/>
          <w:szCs w:val="32"/>
        </w:rPr>
        <w:t>辆，执法执勤用车</w:t>
      </w:r>
      <w:r>
        <w:rPr>
          <w:rFonts w:ascii="仿宋_GB2312" w:eastAsia="仿宋_GB2312" w:cs="仿宋_GB2312"/>
          <w:sz w:val="32"/>
          <w:szCs w:val="32"/>
        </w:rPr>
        <w:t>0</w:t>
      </w:r>
      <w:r>
        <w:rPr>
          <w:rFonts w:hint="eastAsia" w:ascii="仿宋_GB2312" w:eastAsia="仿宋_GB2312" w:cs="仿宋_GB2312"/>
          <w:sz w:val="32"/>
          <w:szCs w:val="32"/>
        </w:rPr>
        <w:t>辆，特种专业技术用车</w:t>
      </w:r>
      <w:r>
        <w:rPr>
          <w:rFonts w:ascii="仿宋_GB2312" w:eastAsia="仿宋_GB2312" w:cs="仿宋_GB2312"/>
          <w:sz w:val="32"/>
          <w:szCs w:val="32"/>
        </w:rPr>
        <w:t>0</w:t>
      </w:r>
      <w:r>
        <w:rPr>
          <w:rFonts w:hint="eastAsia" w:ascii="仿宋_GB2312" w:eastAsia="仿宋_GB2312" w:cs="仿宋_GB2312"/>
          <w:sz w:val="32"/>
          <w:szCs w:val="32"/>
        </w:rPr>
        <w:t>辆，离退休干部用车</w:t>
      </w:r>
      <w:r>
        <w:rPr>
          <w:rFonts w:ascii="仿宋_GB2312" w:eastAsia="仿宋_GB2312" w:cs="仿宋_GB2312"/>
          <w:sz w:val="32"/>
          <w:szCs w:val="32"/>
        </w:rPr>
        <w:t>0</w:t>
      </w:r>
      <w:r>
        <w:rPr>
          <w:rFonts w:hint="eastAsia" w:ascii="仿宋_GB2312" w:eastAsia="仿宋_GB2312" w:cs="仿宋_GB2312"/>
          <w:sz w:val="32"/>
          <w:szCs w:val="32"/>
        </w:rPr>
        <w:t>辆，其他用车</w:t>
      </w:r>
      <w:r>
        <w:rPr>
          <w:rFonts w:ascii="仿宋_GB2312" w:eastAsia="仿宋_GB2312" w:cs="仿宋_GB2312"/>
          <w:sz w:val="32"/>
          <w:szCs w:val="32"/>
        </w:rPr>
        <w:t>0</w:t>
      </w:r>
      <w:r>
        <w:rPr>
          <w:rFonts w:hint="eastAsia" w:ascii="仿宋_GB2312" w:eastAsia="仿宋_GB2312" w:cs="仿宋_GB2312"/>
          <w:sz w:val="32"/>
          <w:szCs w:val="32"/>
        </w:rPr>
        <w:t>辆，无其他用车；单位价值</w:t>
      </w:r>
      <w:r>
        <w:rPr>
          <w:rFonts w:ascii="仿宋_GB2312" w:hAnsi="TimesNewRomanPSMT" w:eastAsia="仿宋_GB2312" w:cs="仿宋_GB2312"/>
          <w:sz w:val="32"/>
          <w:szCs w:val="32"/>
        </w:rPr>
        <w:t>50</w:t>
      </w:r>
      <w:r>
        <w:rPr>
          <w:rFonts w:hint="eastAsia" w:ascii="仿宋_GB2312" w:eastAsia="仿宋_GB2312" w:cs="仿宋_GB2312"/>
          <w:sz w:val="32"/>
          <w:szCs w:val="32"/>
        </w:rPr>
        <w:t>万元以上通用设备</w:t>
      </w:r>
      <w:r>
        <w:rPr>
          <w:rFonts w:ascii="仿宋_GB2312" w:eastAsia="仿宋_GB2312" w:cs="仿宋_GB2312"/>
          <w:sz w:val="32"/>
          <w:szCs w:val="32"/>
        </w:rPr>
        <w:t>0</w:t>
      </w:r>
      <w:r>
        <w:rPr>
          <w:rFonts w:hint="eastAsia" w:ascii="仿宋_GB2312" w:eastAsia="仿宋_GB2312" w:cs="仿宋_GB2312"/>
          <w:sz w:val="32"/>
          <w:szCs w:val="32"/>
        </w:rPr>
        <w:t>台（套），比上年增加</w:t>
      </w:r>
      <w:r>
        <w:rPr>
          <w:rFonts w:ascii="仿宋_GB2312" w:eastAsia="仿宋_GB2312" w:cs="仿宋_GB2312"/>
          <w:sz w:val="32"/>
          <w:szCs w:val="32"/>
        </w:rPr>
        <w:t>0</w:t>
      </w:r>
      <w:r>
        <w:rPr>
          <w:rFonts w:hint="eastAsia" w:ascii="仿宋_GB2312" w:eastAsia="仿宋_GB2312" w:cs="仿宋_GB2312"/>
          <w:sz w:val="32"/>
          <w:szCs w:val="32"/>
        </w:rPr>
        <w:t>套，无变动</w:t>
      </w:r>
      <w:r>
        <w:rPr>
          <w:rFonts w:ascii="仿宋_GB2312" w:eastAsia="仿宋_GB2312" w:cs="仿宋_GB2312"/>
          <w:sz w:val="32"/>
          <w:szCs w:val="32"/>
        </w:rPr>
        <w:t xml:space="preserve"> </w:t>
      </w:r>
      <w:r>
        <w:rPr>
          <w:rFonts w:hint="eastAsia" w:ascii="仿宋_GB2312" w:eastAsia="仿宋_GB2312" w:cs="仿宋_GB2312"/>
          <w:sz w:val="32"/>
          <w:szCs w:val="32"/>
        </w:rPr>
        <w:t>，单位价值</w:t>
      </w:r>
      <w:r>
        <w:rPr>
          <w:rFonts w:ascii="仿宋_GB2312" w:hAnsi="TimesNewRomanPSMT" w:eastAsia="仿宋_GB2312" w:cs="仿宋_GB2312"/>
          <w:sz w:val="32"/>
          <w:szCs w:val="32"/>
        </w:rPr>
        <w:t>100</w:t>
      </w:r>
      <w:r>
        <w:rPr>
          <w:rFonts w:hint="eastAsia" w:ascii="仿宋_GB2312" w:eastAsia="仿宋_GB2312" w:cs="仿宋_GB2312"/>
          <w:sz w:val="32"/>
          <w:szCs w:val="32"/>
        </w:rPr>
        <w:t>万元以上专用设备</w:t>
      </w:r>
      <w:r>
        <w:rPr>
          <w:rFonts w:ascii="仿宋_GB2312" w:eastAsia="仿宋_GB2312" w:cs="仿宋_GB2312"/>
          <w:sz w:val="32"/>
          <w:szCs w:val="32"/>
        </w:rPr>
        <w:t>0</w:t>
      </w:r>
      <w:r>
        <w:rPr>
          <w:rFonts w:hint="eastAsia" w:ascii="仿宋_GB2312" w:eastAsia="仿宋_GB2312" w:cs="仿宋_GB2312"/>
          <w:sz w:val="32"/>
          <w:szCs w:val="32"/>
        </w:rPr>
        <w:t>台（套）比上年增加</w:t>
      </w:r>
      <w:r>
        <w:rPr>
          <w:rFonts w:ascii="仿宋_GB2312" w:eastAsia="仿宋_GB2312" w:cs="仿宋_GB2312"/>
          <w:sz w:val="32"/>
          <w:szCs w:val="32"/>
        </w:rPr>
        <w:t>0</w:t>
      </w:r>
      <w:r>
        <w:rPr>
          <w:rFonts w:hint="eastAsia" w:ascii="仿宋_GB2312" w:eastAsia="仿宋_GB2312" w:cs="仿宋_GB2312"/>
          <w:sz w:val="32"/>
          <w:szCs w:val="32"/>
        </w:rPr>
        <w:t>套</w:t>
      </w:r>
      <w:r>
        <w:rPr>
          <w:rFonts w:ascii="仿宋_GB2312" w:eastAsia="仿宋_GB2312" w:cs="仿宋_GB2312"/>
          <w:sz w:val="32"/>
          <w:szCs w:val="32"/>
        </w:rPr>
        <w:t>,</w:t>
      </w:r>
      <w:r>
        <w:rPr>
          <w:rFonts w:hint="eastAsia" w:ascii="仿宋_GB2312" w:eastAsia="仿宋_GB2312" w:cs="仿宋_GB2312"/>
          <w:sz w:val="32"/>
          <w:szCs w:val="32"/>
        </w:rPr>
        <w:t>无变动。</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b/>
          <w:sz w:val="32"/>
          <w:szCs w:val="32"/>
        </w:rPr>
      </w:pPr>
      <w:r>
        <w:rPr>
          <w:rFonts w:hint="eastAsia" w:ascii="仿宋_GB2312" w:hAnsi="Times New Roman" w:eastAsia="仿宋_GB2312" w:cs="DengXian-Regular"/>
          <w:sz w:val="32"/>
          <w:szCs w:val="32"/>
        </w:rPr>
        <w:t>1. 本部门2019年度一般公共预算财政拨款“三公经费”支出决算表为空，故此表以空表列示。本部门2019年政府性基金财政拨款收入支出决算表为空，故此表以空表列示。2019年国有资本经营预算财政拨款支出决算表为空，故此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5" w:type="first"/>
          <w:footerReference r:id="rId17" w:type="first"/>
          <w:headerReference r:id="rId14" w:type="default"/>
          <w:footerReference r:id="rId16"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o:title="image2" focussize="0,0" r:id="rId29"/>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1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1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o:title="image2" focussize="0,0" r:id="rId29"/>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tbl>
      <w:tblPr>
        <w:tblStyle w:val="9"/>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9517"/>
      </w:tblGrid>
      <w:tr>
        <w:tblPrEx>
          <w:tblLayout w:type="fixed"/>
          <w:tblCellMar>
            <w:top w:w="0" w:type="dxa"/>
            <w:left w:w="0" w:type="dxa"/>
            <w:bottom w:w="0" w:type="dxa"/>
            <w:right w:w="0" w:type="dxa"/>
          </w:tblCellMar>
        </w:tblPrEx>
        <w:trPr>
          <w:trHeight w:val="213" w:hRule="atLeast"/>
          <w:jc w:val="center"/>
        </w:trPr>
        <w:tc>
          <w:tcPr>
            <w:tcW w:w="9517"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见附表</w:t>
            </w:r>
          </w:p>
          <w:p>
            <w:pPr>
              <w:widowControl/>
              <w:jc w:val="left"/>
              <w:textAlignment w:val="center"/>
              <w:rPr>
                <w:rFonts w:ascii="宋体" w:hAnsi="宋体" w:eastAsia="宋体" w:cs="宋体"/>
                <w:color w:val="000000"/>
                <w:kern w:val="0"/>
                <w:sz w:val="22"/>
              </w:rPr>
            </w:pPr>
          </w:p>
        </w:tc>
      </w:tr>
    </w:tbl>
    <w:p>
      <w:pPr>
        <w:jc w:val="left"/>
      </w:pP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本部门应该公开9张决算表格，即：</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r>
        <w:rPr>
          <w:rFonts w:hint="eastAsia" w:ascii="Times New Roman" w:hAnsi="Times New Roman" w:eastAsia="仿宋_GB2312" w:cs="Times New Roman"/>
          <w:sz w:val="32"/>
          <w:szCs w:val="32"/>
        </w:rPr>
        <w:t>（公开01表）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r>
        <w:rPr>
          <w:rFonts w:hint="eastAsia" w:ascii="Times New Roman" w:hAnsi="Times New Roman" w:eastAsia="仿宋_GB2312" w:cs="Times New Roman"/>
          <w:sz w:val="32"/>
          <w:szCs w:val="32"/>
        </w:rPr>
        <w:t>（公开02表）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r>
        <w:rPr>
          <w:rFonts w:hint="eastAsia" w:ascii="Times New Roman" w:hAnsi="Times New Roman" w:eastAsia="仿宋_GB2312" w:cs="Times New Roman"/>
          <w:sz w:val="32"/>
          <w:szCs w:val="32"/>
        </w:rPr>
        <w:t>（公开03表）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r>
        <w:rPr>
          <w:rFonts w:hint="eastAsia" w:ascii="Times New Roman" w:hAnsi="Times New Roman" w:eastAsia="仿宋_GB2312" w:cs="Times New Roman"/>
          <w:sz w:val="32"/>
          <w:szCs w:val="32"/>
        </w:rPr>
        <w:t>（公开04表）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r>
        <w:rPr>
          <w:rFonts w:hint="eastAsia" w:ascii="Times New Roman" w:hAnsi="Times New Roman" w:eastAsia="仿宋_GB2312" w:cs="Times New Roman"/>
          <w:sz w:val="32"/>
          <w:szCs w:val="32"/>
        </w:rPr>
        <w:t>（公开05表）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六、一般公共预算财政拨款基本支出决算表</w:t>
      </w:r>
      <w:r>
        <w:rPr>
          <w:rFonts w:hint="eastAsia" w:ascii="Times New Roman" w:hAnsi="Times New Roman" w:eastAsia="仿宋_GB2312" w:cs="Times New Roman"/>
          <w:sz w:val="32"/>
          <w:szCs w:val="32"/>
        </w:rPr>
        <w:t>（公开06表）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w:t>
      </w:r>
      <w:r>
        <w:rPr>
          <w:rFonts w:hint="eastAsia" w:ascii="Times New Roman" w:hAnsi="Times New Roman" w:eastAsia="仿宋_GB2312" w:cs="Times New Roman"/>
          <w:sz w:val="32"/>
          <w:szCs w:val="32"/>
        </w:rPr>
        <w:t>一般公共预算财政拨款</w:t>
      </w:r>
      <w:r>
        <w:rPr>
          <w:rFonts w:ascii="Times New Roman" w:hAnsi="Times New Roman" w:eastAsia="仿宋_GB2312" w:cs="Times New Roman"/>
          <w:sz w:val="32"/>
          <w:szCs w:val="32"/>
        </w:rPr>
        <w:t>“三公”经费</w:t>
      </w:r>
      <w:r>
        <w:rPr>
          <w:rFonts w:hint="eastAsia" w:ascii="Times New Roman" w:hAnsi="Times New Roman" w:eastAsia="仿宋_GB2312" w:cs="Times New Roman"/>
          <w:sz w:val="32"/>
          <w:szCs w:val="32"/>
        </w:rPr>
        <w:t>支出决算表（公开07表）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政府性基金预算财政拨款收入支出决算表</w:t>
      </w:r>
      <w:r>
        <w:rPr>
          <w:rFonts w:hint="eastAsia" w:ascii="Times New Roman" w:hAnsi="Times New Roman" w:eastAsia="仿宋_GB2312" w:cs="Times New Roman"/>
          <w:sz w:val="32"/>
          <w:szCs w:val="32"/>
        </w:rPr>
        <w:t>（公开08表）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w:t>
      </w:r>
      <w:r>
        <w:rPr>
          <w:rFonts w:ascii="Times New Roman" w:hAnsi="Times New Roman" w:eastAsia="仿宋_GB2312" w:cs="Times New Roman"/>
          <w:sz w:val="32"/>
          <w:szCs w:val="32"/>
        </w:rPr>
        <w:t>、国有资本经营预算</w:t>
      </w:r>
      <w:r>
        <w:rPr>
          <w:rFonts w:hint="eastAsia" w:ascii="Times New Roman" w:hAnsi="Times New Roman" w:eastAsia="仿宋_GB2312" w:cs="Times New Roman"/>
          <w:sz w:val="32"/>
          <w:szCs w:val="32"/>
        </w:rPr>
        <w:t>财政拨款</w:t>
      </w:r>
      <w:r>
        <w:rPr>
          <w:rFonts w:ascii="Times New Roman" w:hAnsi="Times New Roman" w:eastAsia="仿宋_GB2312" w:cs="Times New Roman"/>
          <w:sz w:val="32"/>
          <w:szCs w:val="32"/>
        </w:rPr>
        <w:t>支出决算表</w:t>
      </w:r>
      <w:r>
        <w:rPr>
          <w:rFonts w:hint="eastAsia" w:ascii="Times New Roman" w:hAnsi="Times New Roman" w:eastAsia="仿宋_GB2312" w:cs="Times New Roman"/>
          <w:sz w:val="32"/>
          <w:szCs w:val="32"/>
        </w:rPr>
        <w:t>（公开09表）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详见附件：《高邑县计划生育协会2019年度部门决算公开表》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22" w:type="first"/>
          <w:footerReference r:id="rId24" w:type="first"/>
          <w:headerReference r:id="rId21" w:type="default"/>
          <w:footerReference r:id="rId23" w:type="default"/>
          <w:pgSz w:w="11906" w:h="16838"/>
          <w:pgMar w:top="2041" w:right="1531" w:bottom="2041" w:left="1531" w:header="851" w:footer="992" w:gutter="0"/>
          <w:cols w:space="0" w:num="1"/>
          <w:titlePg/>
          <w:docGrid w:type="lines" w:linePitch="312" w:charSpace="0"/>
        </w:sectPr>
      </w:pPr>
    </w:p>
    <w:p>
      <w:r>
        <w:br w:type="page"/>
      </w:r>
    </w:p>
    <w:p>
      <w:r>
        <w:br w:type="page"/>
      </w:r>
    </w:p>
    <w:p>
      <w:r>
        <w:br w:type="page"/>
      </w:r>
    </w:p>
    <w:p>
      <w:r>
        <w:br w:type="page"/>
      </w:r>
    </w:p>
    <w:p>
      <w:r>
        <w:br w:type="page"/>
      </w:r>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altName w:val="Meiryo"/>
    <w:panose1 w:val="000000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MS Gothic">
    <w:panose1 w:val="020B0609070205080204"/>
    <w:charset w:val="80"/>
    <w:family w:val="modern"/>
    <w:pitch w:val="default"/>
    <w:sig w:usb0="E00002FF" w:usb1="6AC7FDFB" w:usb2="00000012" w:usb3="00000000" w:csb0="4002009F" w:csb1="DFD7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- 34 -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2926F5"/>
    <w:multiLevelType w:val="singleLevel"/>
    <w:tmpl w:val="592926F5"/>
    <w:lvl w:ilvl="0" w:tentative="0">
      <w:start w:val="1"/>
      <w:numFmt w:val="chineseCounting"/>
      <w:suff w:val="nothing"/>
      <w:lvlText w:val="（%1）"/>
      <w:lvlJc w:val="left"/>
    </w:lvl>
  </w:abstractNum>
  <w:abstractNum w:abstractNumId="2">
    <w:nsid w:val="59950409"/>
    <w:multiLevelType w:val="singleLevel"/>
    <w:tmpl w:val="59950409"/>
    <w:lvl w:ilvl="0" w:tentative="0">
      <w:start w:val="1"/>
      <w:numFmt w:val="decimal"/>
      <w:suff w:val="space"/>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6C89"/>
    <w:rsid w:val="000A39FB"/>
    <w:rsid w:val="000D5B52"/>
    <w:rsid w:val="00117746"/>
    <w:rsid w:val="00132461"/>
    <w:rsid w:val="00163F95"/>
    <w:rsid w:val="00180A9A"/>
    <w:rsid w:val="001829C0"/>
    <w:rsid w:val="00184809"/>
    <w:rsid w:val="00192112"/>
    <w:rsid w:val="001B0127"/>
    <w:rsid w:val="001B4169"/>
    <w:rsid w:val="001C12D5"/>
    <w:rsid w:val="001C69F7"/>
    <w:rsid w:val="001D6F97"/>
    <w:rsid w:val="001F5D06"/>
    <w:rsid w:val="001F6195"/>
    <w:rsid w:val="002650EC"/>
    <w:rsid w:val="002A6C46"/>
    <w:rsid w:val="002C19B5"/>
    <w:rsid w:val="003A4EE8"/>
    <w:rsid w:val="00421E3F"/>
    <w:rsid w:val="00442CC2"/>
    <w:rsid w:val="00446244"/>
    <w:rsid w:val="00473C20"/>
    <w:rsid w:val="004D61CB"/>
    <w:rsid w:val="005011D6"/>
    <w:rsid w:val="00503F2E"/>
    <w:rsid w:val="00534EBD"/>
    <w:rsid w:val="00543820"/>
    <w:rsid w:val="00552226"/>
    <w:rsid w:val="00566120"/>
    <w:rsid w:val="0057258B"/>
    <w:rsid w:val="00582E6D"/>
    <w:rsid w:val="005954D5"/>
    <w:rsid w:val="005A53FA"/>
    <w:rsid w:val="005D1293"/>
    <w:rsid w:val="00605475"/>
    <w:rsid w:val="00626730"/>
    <w:rsid w:val="00632706"/>
    <w:rsid w:val="00644D5F"/>
    <w:rsid w:val="00657F86"/>
    <w:rsid w:val="006727AD"/>
    <w:rsid w:val="00691425"/>
    <w:rsid w:val="006A516E"/>
    <w:rsid w:val="006B0830"/>
    <w:rsid w:val="006B526F"/>
    <w:rsid w:val="00716E2B"/>
    <w:rsid w:val="00730788"/>
    <w:rsid w:val="00734329"/>
    <w:rsid w:val="0074342E"/>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951B3"/>
    <w:rsid w:val="009B4EF0"/>
    <w:rsid w:val="009D271F"/>
    <w:rsid w:val="00A17C2E"/>
    <w:rsid w:val="00A24831"/>
    <w:rsid w:val="00A2532F"/>
    <w:rsid w:val="00A92965"/>
    <w:rsid w:val="00A929C2"/>
    <w:rsid w:val="00AD097F"/>
    <w:rsid w:val="00B44306"/>
    <w:rsid w:val="00B844F4"/>
    <w:rsid w:val="00B91EDA"/>
    <w:rsid w:val="00BA06A1"/>
    <w:rsid w:val="00BA770A"/>
    <w:rsid w:val="00BD7351"/>
    <w:rsid w:val="00BD7E28"/>
    <w:rsid w:val="00C054DE"/>
    <w:rsid w:val="00C1261F"/>
    <w:rsid w:val="00C20B48"/>
    <w:rsid w:val="00C26872"/>
    <w:rsid w:val="00C41BA2"/>
    <w:rsid w:val="00C679A9"/>
    <w:rsid w:val="00C7541C"/>
    <w:rsid w:val="00CC0FAA"/>
    <w:rsid w:val="00CD0736"/>
    <w:rsid w:val="00CF1015"/>
    <w:rsid w:val="00D11A4A"/>
    <w:rsid w:val="00D1570F"/>
    <w:rsid w:val="00D32830"/>
    <w:rsid w:val="00D743A2"/>
    <w:rsid w:val="00D81101"/>
    <w:rsid w:val="00D912AE"/>
    <w:rsid w:val="00DA1016"/>
    <w:rsid w:val="00DB7153"/>
    <w:rsid w:val="00DB7F05"/>
    <w:rsid w:val="00DE2332"/>
    <w:rsid w:val="00E028C3"/>
    <w:rsid w:val="00E14F77"/>
    <w:rsid w:val="00E24921"/>
    <w:rsid w:val="00E3076B"/>
    <w:rsid w:val="00E36978"/>
    <w:rsid w:val="00E70458"/>
    <w:rsid w:val="00E82A1E"/>
    <w:rsid w:val="00EA05EC"/>
    <w:rsid w:val="00EC06F4"/>
    <w:rsid w:val="00EE4E36"/>
    <w:rsid w:val="00F2022F"/>
    <w:rsid w:val="00F5488D"/>
    <w:rsid w:val="00F665F4"/>
    <w:rsid w:val="00FD225F"/>
    <w:rsid w:val="00FD6D63"/>
    <w:rsid w:val="0187685A"/>
    <w:rsid w:val="01C16CA5"/>
    <w:rsid w:val="05B00A30"/>
    <w:rsid w:val="05B66925"/>
    <w:rsid w:val="066231B1"/>
    <w:rsid w:val="0B011416"/>
    <w:rsid w:val="10714B34"/>
    <w:rsid w:val="131A5360"/>
    <w:rsid w:val="142A2A59"/>
    <w:rsid w:val="17CB18F2"/>
    <w:rsid w:val="17E73403"/>
    <w:rsid w:val="18C83FD9"/>
    <w:rsid w:val="190A7E9A"/>
    <w:rsid w:val="19A15086"/>
    <w:rsid w:val="26D310C8"/>
    <w:rsid w:val="277F2871"/>
    <w:rsid w:val="294963CC"/>
    <w:rsid w:val="2CB44985"/>
    <w:rsid w:val="31C2036A"/>
    <w:rsid w:val="320D02A5"/>
    <w:rsid w:val="330842E5"/>
    <w:rsid w:val="34597787"/>
    <w:rsid w:val="348E566F"/>
    <w:rsid w:val="35BE0039"/>
    <w:rsid w:val="361D0FF4"/>
    <w:rsid w:val="3A226944"/>
    <w:rsid w:val="3AEE6A48"/>
    <w:rsid w:val="3C1620AA"/>
    <w:rsid w:val="3D8F080F"/>
    <w:rsid w:val="44CE1FA4"/>
    <w:rsid w:val="44E955F1"/>
    <w:rsid w:val="487F73ED"/>
    <w:rsid w:val="4A347EAE"/>
    <w:rsid w:val="4A7C0626"/>
    <w:rsid w:val="52600405"/>
    <w:rsid w:val="529B4319"/>
    <w:rsid w:val="54A6266C"/>
    <w:rsid w:val="554F0A8A"/>
    <w:rsid w:val="57773DD6"/>
    <w:rsid w:val="578B79AB"/>
    <w:rsid w:val="5CCD3FD5"/>
    <w:rsid w:val="5D400701"/>
    <w:rsid w:val="5F521F00"/>
    <w:rsid w:val="61FA5F9D"/>
    <w:rsid w:val="622D66B6"/>
    <w:rsid w:val="64CD6910"/>
    <w:rsid w:val="6789158D"/>
    <w:rsid w:val="67D81BA4"/>
    <w:rsid w:val="6AAF1C96"/>
    <w:rsid w:val="713D0244"/>
    <w:rsid w:val="737234C7"/>
    <w:rsid w:val="75681757"/>
    <w:rsid w:val="75A346A8"/>
    <w:rsid w:val="765871A6"/>
    <w:rsid w:val="79B9382C"/>
    <w:rsid w:val="7A967F84"/>
    <w:rsid w:val="7AC91206"/>
    <w:rsid w:val="7B043B76"/>
    <w:rsid w:val="7C041A6A"/>
    <w:rsid w:val="7C9A78D1"/>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15"/>
    <w:qFormat/>
    <w:uiPriority w:val="99"/>
    <w:pPr>
      <w:keepNext/>
      <w:keepLines/>
      <w:spacing w:before="260" w:after="260" w:line="416" w:lineRule="auto"/>
      <w:outlineLvl w:val="2"/>
    </w:pPr>
    <w:rPr>
      <w:rFonts w:ascii="Times New Roman" w:hAnsi="Times New Roman" w:eastAsia="宋体" w:cs="Times New Roman"/>
      <w:b/>
      <w:bCs/>
      <w:sz w:val="32"/>
      <w:szCs w:val="32"/>
    </w:rPr>
  </w:style>
  <w:style w:type="character" w:default="1" w:styleId="8">
    <w:name w:val="Default Paragraph Font"/>
    <w:semiHidden/>
    <w:unhideWhenUsed/>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Balloon Text"/>
    <w:basedOn w:val="1"/>
    <w:link w:val="14"/>
    <w:semiHidden/>
    <w:unhideWhenUsed/>
    <w:qFormat/>
    <w:uiPriority w:val="99"/>
    <w:rPr>
      <w:sz w:val="18"/>
      <w:szCs w:val="18"/>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10">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1">
    <w:name w:val="页眉 Char"/>
    <w:basedOn w:val="8"/>
    <w:link w:val="7"/>
    <w:qFormat/>
    <w:uiPriority w:val="99"/>
    <w:rPr>
      <w:rFonts w:asciiTheme="minorHAnsi" w:hAnsiTheme="minorHAnsi" w:eastAsiaTheme="minorEastAsia"/>
      <w:sz w:val="18"/>
      <w:szCs w:val="18"/>
    </w:rPr>
  </w:style>
  <w:style w:type="character" w:customStyle="1" w:styleId="12">
    <w:name w:val="页脚 Char"/>
    <w:basedOn w:val="8"/>
    <w:link w:val="6"/>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4">
    <w:name w:val="批注框文本 Char"/>
    <w:basedOn w:val="8"/>
    <w:link w:val="5"/>
    <w:semiHidden/>
    <w:qFormat/>
    <w:uiPriority w:val="99"/>
    <w:rPr>
      <w:rFonts w:asciiTheme="minorHAnsi" w:hAnsiTheme="minorHAnsi" w:eastAsiaTheme="minorEastAsia" w:cstheme="minorBidi"/>
      <w:kern w:val="2"/>
      <w:sz w:val="18"/>
      <w:szCs w:val="18"/>
    </w:rPr>
  </w:style>
  <w:style w:type="character" w:customStyle="1" w:styleId="15">
    <w:name w:val="标题 3 Char"/>
    <w:basedOn w:val="8"/>
    <w:link w:val="3"/>
    <w:qFormat/>
    <w:uiPriority w:val="99"/>
    <w:rPr>
      <w:rFonts w:ascii="Times New Roman" w:hAnsi="Times New Roman"/>
      <w:b/>
      <w:bCs/>
      <w:kern w:val="2"/>
      <w:sz w:val="32"/>
      <w:szCs w:val="32"/>
    </w:rPr>
  </w:style>
  <w:style w:type="paragraph" w:customStyle="1" w:styleId="16">
    <w:name w:val="p16"/>
    <w:basedOn w:val="1"/>
    <w:qFormat/>
    <w:uiPriority w:val="99"/>
    <w:pPr>
      <w:widowControl/>
    </w:pPr>
    <w:rPr>
      <w:rFonts w:ascii="Times New Roman" w:hAnsi="Times New Roman" w:eastAsia="宋体" w:cs="Times New Roman"/>
      <w:kern w:val="0"/>
      <w:szCs w:val="21"/>
    </w:rPr>
  </w:style>
  <w:style w:type="paragraph" w:customStyle="1" w:styleId="17">
    <w:name w:val="p17"/>
    <w:basedOn w:val="1"/>
    <w:qFormat/>
    <w:uiPriority w:val="99"/>
    <w:pPr>
      <w:widowControl/>
    </w:pPr>
    <w:rPr>
      <w:rFonts w:ascii="宋体" w:hAnsi="宋体" w:eastAsia="宋体" w:cs="宋体"/>
      <w:kern w:val="0"/>
      <w:szCs w:val="21"/>
    </w:rPr>
  </w:style>
  <w:style w:type="paragraph" w:customStyle="1" w:styleId="18">
    <w:name w:val="p15"/>
    <w:basedOn w:val="1"/>
    <w:qFormat/>
    <w:uiPriority w:val="99"/>
    <w:pPr>
      <w:widowControl/>
    </w:pPr>
    <w:rPr>
      <w:rFonts w:ascii="Times New Roman" w:hAnsi="Times New Roman" w:eastAsia="宋体" w:cs="Times New Roman"/>
      <w:kern w:val="0"/>
      <w:szCs w:val="21"/>
    </w:rPr>
  </w:style>
  <w:style w:type="paragraph" w:customStyle="1" w:styleId="19">
    <w:name w:val="p0"/>
    <w:basedOn w:val="1"/>
    <w:qFormat/>
    <w:uiPriority w:val="99"/>
    <w:pPr>
      <w:widowControl/>
    </w:pPr>
    <w:rPr>
      <w:rFonts w:ascii="Times New Roman" w:hAnsi="Times New Roman" w:eastAsia="宋体" w:cs="Times New Roman"/>
      <w:kern w:val="0"/>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1.xml"/><Relationship Id="rId30" Type="http://schemas.openxmlformats.org/officeDocument/2006/relationships/image" Target="media/image3.png"/><Relationship Id="rId3" Type="http://schemas.openxmlformats.org/officeDocument/2006/relationships/header" Target="header1.xml"/><Relationship Id="rId29" Type="http://schemas.openxmlformats.org/officeDocument/2006/relationships/image" Target="media/image2.GIF"/><Relationship Id="rId28" Type="http://schemas.openxmlformats.org/officeDocument/2006/relationships/theme" Target="theme/theme1.xml"/><Relationship Id="rId27" Type="http://schemas.openxmlformats.org/officeDocument/2006/relationships/footer" Target="footer10.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footer" Target="footer9.xml"/><Relationship Id="rId23" Type="http://schemas.openxmlformats.org/officeDocument/2006/relationships/footer" Target="footer8.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footer" Target="footer7.xml"/><Relationship Id="rId16" Type="http://schemas.openxmlformats.org/officeDocument/2006/relationships/footer" Target="footer6.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0.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6032;&#24314;%20Microsoft%20Office%20Excel%2097-2003%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elete val="1"/>
          </c:dLbls>
          <c:cat>
            <c:strRef>
              <c:f>Sheet1!$B$4:$B$7</c:f>
              <c:strCache>
                <c:ptCount val="4"/>
                <c:pt idx="0">
                  <c:v>2019年收入</c:v>
                </c:pt>
                <c:pt idx="1">
                  <c:v>2019年预算收入</c:v>
                </c:pt>
                <c:pt idx="2">
                  <c:v>2019年支出</c:v>
                </c:pt>
                <c:pt idx="3">
                  <c:v>2019年预算支出</c:v>
                </c:pt>
              </c:strCache>
            </c:strRef>
          </c:cat>
          <c:val>
            <c:numRef>
              <c:f>Sheet1!$C$4:$C$7</c:f>
              <c:numCache>
                <c:formatCode>General</c:formatCode>
                <c:ptCount val="4"/>
                <c:pt idx="0">
                  <c:v>43.81</c:v>
                </c:pt>
                <c:pt idx="1">
                  <c:v>57.18</c:v>
                </c:pt>
                <c:pt idx="2">
                  <c:v>44.53</c:v>
                </c:pt>
                <c:pt idx="3">
                  <c:v>57.18</c:v>
                </c:pt>
              </c:numCache>
            </c:numRef>
          </c:val>
        </c:ser>
        <c:dLbls>
          <c:showLegendKey val="0"/>
          <c:showVal val="0"/>
          <c:showCatName val="0"/>
          <c:showSerName val="0"/>
          <c:showPercent val="0"/>
          <c:showBubbleSize val="0"/>
        </c:dLbls>
        <c:gapWidth val="150"/>
        <c:axId val="77844480"/>
        <c:axId val="77846016"/>
      </c:barChart>
      <c:catAx>
        <c:axId val="77844480"/>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77846016"/>
        <c:crosses val="autoZero"/>
        <c:auto val="1"/>
        <c:lblAlgn val="ctr"/>
        <c:lblOffset val="100"/>
        <c:noMultiLvlLbl val="0"/>
      </c:catAx>
      <c:valAx>
        <c:axId val="77846016"/>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77844480"/>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54"/>
    <customShpInfo spid="_x0000_s1055"/>
    <customShpInfo spid="_x0000_s1053"/>
    <customShpInfo spid="_x0000_s1029"/>
    <customShpInfo spid="_x0000_s102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1515ED7-A015-47B8-B50A-46A7B096E6BC}">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35</Pages>
  <Words>6557</Words>
  <Characters>608</Characters>
  <Lines>5</Lines>
  <Paragraphs>14</Paragraphs>
  <TotalTime>1</TotalTime>
  <ScaleCrop>false</ScaleCrop>
  <LinksUpToDate>false</LinksUpToDate>
  <CharactersWithSpaces>7151</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2021-06-16T15:53:48Z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8300D7BB23BF4D86A588F4A191C5FFF2</vt:lpwstr>
  </property>
</Properties>
</file>