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45952" behindDoc="1" locked="0" layoutInCell="1" allowOverlap="1">
            <wp:simplePos x="0" y="0"/>
            <wp:positionH relativeFrom="column">
              <wp:posOffset>-998855</wp:posOffset>
            </wp:positionH>
            <wp:positionV relativeFrom="paragraph">
              <wp:posOffset>-1353820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53120;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v:path/>
            <v:fill on="f" focussize="0,0"/>
            <v:stroke on="f" weight="0.5pt" joinstyle="miter"/>
            <v:imagedata o:title=""/>
            <o:lock v:ext="edit"/>
            <v:textbox>
              <w:txbxContent>
                <w:p>
                  <w:pPr>
                    <w:widowControl/>
                    <w:spacing w:line="1200" w:lineRule="exact"/>
                    <w:jc w:val="center"/>
                    <w:rPr>
                      <w:color w:val="FDEFBE"/>
                      <w:sz w:val="96"/>
                      <w:szCs w:val="96"/>
                    </w:rPr>
                  </w:pPr>
                  <w:r>
                    <w:rPr>
                      <w:rFonts w:hint="eastAsia" w:hAnsi="宋体" w:asciiTheme="minorEastAsia" w:eastAsiaTheme="minorEastAsia"/>
                      <w:color w:val="FDEFBE"/>
                      <w:sz w:val="96"/>
                      <w:szCs w:val="96"/>
                    </w:rPr>
                    <w:t>中共高邑县委党史研究室2018年度部门决算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w:t>
      </w:r>
    </w:p>
    <w:p>
      <w:pPr>
        <w:spacing w:beforeLines="200" w:after="0" w:line="1000" w:lineRule="exact"/>
        <w:jc w:val="center"/>
        <w:rPr>
          <w:rFonts w:ascii="黑体" w:eastAsia="黑体"/>
          <w:sz w:val="48"/>
          <w:szCs w:val="48"/>
        </w:rPr>
      </w:pPr>
      <w:r>
        <w:rPr>
          <w:sz w:val="48"/>
          <w:szCs w:val="28"/>
        </w:rPr>
        <w:pict>
          <v:group id="_x0000_s1068" o:spid="_x0000_s1068" o:spt="203" style="position:absolute;left:0pt;margin-left:-80.8pt;margin-top:39.95pt;height:46.7pt;width:250.05pt;mso-position-vertical-relative:page;z-index:251661312;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v:rect id="矩形 13" o:spid="_x0000_s1070"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69"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党史办</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w:pict>
          <v:group id="_x0000_s1065" o:spid="_x0000_s1065" o:spt="203" style="position:absolute;left:0pt;margin-left:-79.95pt;margin-top:44.2pt;height:36.75pt;width:260.25pt;mso-position-vertical-relative:page;z-index:251660288;mso-width-relative:page;mso-height-relative:page;" coordorigin="-2419,52687" coordsize="8546,1176203" o:gfxdata="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DORHi62wAAAAsBAAAPAAAAAAAAAAEAIAAAACIAAABkcnMvZG93bnJldi54bWxQSwEC&#10;FAAUAAAACACHTuJAo9GZL0cDAABDCQAADgAAAAAAAAABACAAAAAqAQAAZHJzL2Uyb0RvYy54bWxQ&#10;SwUGAAAAAAYABgBZAQAA4wYAAAAA&#10;">
            <o:lock v:ext="edit"/>
            <v:rect id="矩形 13" o:spid="_x0000_s1067" o:spt="1" style="position:absolute;left:-2419;top:52687;height:1176;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66" o:spt="1" style="position:absolute;left:-2245;top:52722;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-1023620</wp:posOffset>
            </wp:positionH>
            <wp:positionV relativeFrom="paragraph">
              <wp:posOffset>-1350645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_x0000_s1064" o:spid="_x0000_s1064" o:spt="202" type="#_x0000_t202" style="position:absolute;left:0pt;margin-left:-97.3pt;margin-top:259.1pt;height:81.7pt;width:613.65pt;z-index:251658240;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061" o:spid="_x0000_s1061" o:spt="203" style="position:absolute;left:0pt;margin-left:-80.8pt;margin-top:39.5pt;height:46.7pt;width:245.25pt;mso-position-vertical-relative:page;z-index:251654144;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o:lock v:ext="edit"/>
            <v:rect id="_x0000_s1063" o:spid="_x0000_s1063"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062" o:spid="_x0000_s1062"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_GB2312" w:hAnsi="仿宋_GB2312" w:eastAsia="仿宋_GB2312"/>
          <w:sz w:val="32"/>
          <w:szCs w:val="32"/>
        </w:rPr>
      </w:pPr>
      <w:r>
        <w:rPr>
          <w:rFonts w:hint="eastAsia" w:ascii="方正楷体_GBK" w:eastAsia="方正楷体_GBK"/>
          <w:bCs/>
          <w:sz w:val="32"/>
          <w:szCs w:val="32"/>
        </w:rPr>
        <w:t>（一）</w:t>
      </w:r>
      <w:r>
        <w:rPr>
          <w:rFonts w:hint="eastAsia" w:ascii="仿宋_GB2312" w:hAnsi="仿宋_GB2312" w:eastAsia="仿宋_GB2312"/>
          <w:sz w:val="32"/>
          <w:szCs w:val="32"/>
        </w:rPr>
        <w:t>承担党史宣传教育工作。围绕党委、政府中心工作，充分发挥党史资政育人作用。举办全县党史干部业务培训班。努力建设一支具有丰富理论素养和研究能力的党史工作者队伍。</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_GB2312" w:hAnsi="仿宋_GB2312" w:eastAsia="仿宋_GB2312"/>
          <w:sz w:val="32"/>
          <w:szCs w:val="32"/>
        </w:rPr>
      </w:pPr>
      <w:r>
        <w:rPr>
          <w:rFonts w:hint="eastAsia" w:ascii="仿宋_GB2312" w:hAnsi="仿宋_GB2312" w:eastAsia="仿宋_GB2312"/>
          <w:sz w:val="32"/>
          <w:szCs w:val="32"/>
        </w:rPr>
        <w:t>（二）收集整理历史资料、人物回忆录，搜集、整理和研究县内有关县历史的信息资料。征集中共我县历史上的重要人物资料并进行综合研究，完成部分传稿。</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_GB2312" w:hAnsi="仿宋_GB2312" w:eastAsia="仿宋_GB2312"/>
          <w:sz w:val="32"/>
          <w:szCs w:val="32"/>
        </w:rPr>
      </w:pPr>
      <w:r>
        <w:rPr>
          <w:rFonts w:hint="eastAsia" w:ascii="仿宋_GB2312" w:hAnsi="仿宋_GB2312" w:eastAsia="仿宋_GB2312"/>
          <w:sz w:val="32"/>
          <w:szCs w:val="32"/>
        </w:rPr>
        <w:t>（三）负责综合事务管理工作。完成县委交办的党史方面及其他方面的工作任务，为县委解决有关党史方面的问题提供资料和意见。</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_GB2312" w:hAnsi="仿宋_GB2312" w:eastAsia="仿宋_GB2312"/>
          <w:sz w:val="32"/>
          <w:szCs w:val="32"/>
        </w:rPr>
      </w:pPr>
      <w:r>
        <w:rPr>
          <w:rFonts w:hint="eastAsia" w:ascii="仿宋_GB2312" w:hAnsi="仿宋_GB2312" w:eastAsia="仿宋_GB2312"/>
          <w:sz w:val="32"/>
          <w:szCs w:val="32"/>
        </w:rPr>
        <w:t>（四）完成县委交办的党史方面及其他方面的工作任务，为县委解决有关党史方面的问题提供资料和意见。保障正常运转情况</w:t>
      </w:r>
      <w:r>
        <w:rPr>
          <w:rFonts w:ascii="仿宋_GB2312" w:hAnsi="仿宋_GB2312" w:eastAsia="仿宋_GB2312"/>
          <w:sz w:val="32"/>
          <w:szCs w:val="32"/>
        </w:rPr>
        <w:t>.</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黑体" w:eastAsia="黑体" w:cs="黑体" w:hAnsiTheme="minorHAnsi"/>
          <w:kern w:val="0"/>
          <w:sz w:val="32"/>
          <w:szCs w:val="32"/>
        </w:rPr>
      </w:pPr>
      <w:r>
        <w:rPr>
          <w:rFonts w:hint="eastAsia" w:ascii="黑体" w:eastAsia="黑体" w:cs="黑体" w:hAnsiTheme="minorHAnsi"/>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4"/>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rPr>
          <w:trHeight w:val="596" w:hRule="atLeast"/>
          <w:jc w:val="center"/>
        </w:trPr>
        <w:tc>
          <w:tcPr>
            <w:tcW w:w="985" w:type="dxa"/>
            <w:vAlign w:val="center"/>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vAlign w:val="center"/>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中共高邑县委党史研究室</w:t>
            </w:r>
          </w:p>
        </w:tc>
        <w:tc>
          <w:tcPr>
            <w:tcW w:w="2445" w:type="dxa"/>
            <w:vAlign w:val="center"/>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参公事业单位</w:t>
            </w:r>
          </w:p>
        </w:tc>
        <w:tc>
          <w:tcPr>
            <w:tcW w:w="2665" w:type="dxa"/>
            <w:vAlign w:val="center"/>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bl>
    <w:p>
      <w:pPr>
        <w:widowControl/>
        <w:spacing w:line="560" w:lineRule="exact"/>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8000" behindDoc="1" locked="0" layoutInCell="1" allowOverlap="1">
            <wp:simplePos x="0" y="0"/>
            <wp:positionH relativeFrom="column">
              <wp:posOffset>-1022350</wp:posOffset>
            </wp:positionH>
            <wp:positionV relativeFrom="paragraph">
              <wp:posOffset>-1325880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60" o:spid="_x0000_s1060" o:spt="202" type="#_x0000_t202" style="position:absolute;left:0pt;margin-left:-74.2pt;margin-top:120.3pt;height:159.1pt;width:596.2pt;z-index:251655168;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pPr>
        <w:widowControl/>
        <w:spacing w:after="0" w:line="560" w:lineRule="exact"/>
        <w:jc w:val="center"/>
        <w:rPr>
          <w:rFonts w:ascii="仿宋_GB2312" w:hAnsi="宋体" w:eastAsia="仿宋_GB2312" w:cs="宋体"/>
          <w:b/>
          <w:bCs/>
          <w:sz w:val="32"/>
          <w:szCs w:val="32"/>
        </w:rPr>
      </w:pPr>
      <w:r>
        <w:rPr>
          <w:rFonts w:hint="eastAsia" w:ascii="仿宋_GB2312" w:hAnsi="宋体" w:eastAsia="仿宋_GB2312" w:cs="宋体"/>
          <w:b/>
          <w:bCs/>
          <w:sz w:val="32"/>
          <w:szCs w:val="32"/>
        </w:rPr>
        <w:t>第二部分  2018年度部门决算报表</w:t>
      </w:r>
    </w:p>
    <w:p>
      <w:pPr>
        <w:widowControl/>
        <w:spacing w:after="0" w:line="560" w:lineRule="exact"/>
        <w:jc w:val="left"/>
        <w:rPr>
          <w:rFonts w:ascii="仿宋" w:hAnsi="仿宋" w:eastAsia="仿宋" w:cs="宋体"/>
          <w:b/>
          <w:bCs/>
          <w:sz w:val="28"/>
          <w:szCs w:val="28"/>
        </w:rPr>
      </w:pPr>
      <w:r>
        <w:rPr>
          <w:rFonts w:hint="eastAsia" w:ascii="仿宋" w:hAnsi="仿宋" w:eastAsia="仿宋" w:cs="宋体"/>
          <w:b/>
          <w:bCs/>
          <w:sz w:val="28"/>
          <w:szCs w:val="28"/>
        </w:rPr>
        <w:t>本部门应公开10张决算表格，即：</w:t>
      </w:r>
    </w:p>
    <w:p>
      <w:pPr>
        <w:widowControl/>
        <w:spacing w:after="0" w:line="560" w:lineRule="exact"/>
        <w:jc w:val="left"/>
        <w:rPr>
          <w:rFonts w:ascii="仿宋" w:hAnsi="仿宋" w:eastAsia="仿宋" w:cs="宋体"/>
          <w:b/>
          <w:bCs/>
          <w:sz w:val="28"/>
          <w:szCs w:val="28"/>
        </w:rPr>
      </w:pPr>
      <w:r>
        <w:rPr>
          <w:rFonts w:hint="eastAsia" w:ascii="仿宋" w:hAnsi="仿宋" w:eastAsia="仿宋" w:cs="宋体"/>
          <w:b/>
          <w:bCs/>
          <w:sz w:val="28"/>
          <w:szCs w:val="28"/>
        </w:rPr>
        <w:t>一、收入支出决算</w:t>
      </w:r>
      <w:r>
        <w:rPr>
          <w:rFonts w:hint="eastAsia" w:ascii="仿宋" w:hAnsi="仿宋" w:eastAsia="仿宋" w:cs="宋体"/>
          <w:b/>
          <w:bCs/>
          <w:sz w:val="28"/>
          <w:szCs w:val="28"/>
          <w:lang w:eastAsia="zh-CN"/>
        </w:rPr>
        <w:t>总</w:t>
      </w:r>
      <w:r>
        <w:rPr>
          <w:rFonts w:hint="eastAsia" w:ascii="仿宋" w:hAnsi="仿宋" w:eastAsia="仿宋" w:cs="宋体"/>
          <w:b/>
          <w:bCs/>
          <w:sz w:val="28"/>
          <w:szCs w:val="28"/>
        </w:rPr>
        <w:t>表（公开01表）</w:t>
      </w:r>
    </w:p>
    <w:p>
      <w:pPr>
        <w:widowControl/>
        <w:spacing w:after="0" w:line="560" w:lineRule="exact"/>
        <w:jc w:val="left"/>
        <w:rPr>
          <w:rFonts w:ascii="仿宋" w:hAnsi="仿宋" w:eastAsia="仿宋" w:cs="宋体"/>
          <w:b/>
          <w:bCs/>
          <w:sz w:val="28"/>
          <w:szCs w:val="28"/>
        </w:rPr>
      </w:pPr>
      <w:r>
        <w:rPr>
          <w:rFonts w:hint="eastAsia" w:ascii="仿宋" w:hAnsi="仿宋" w:eastAsia="仿宋" w:cs="宋体"/>
          <w:b/>
          <w:bCs/>
          <w:sz w:val="28"/>
          <w:szCs w:val="28"/>
        </w:rPr>
        <w:t>二、收入决算表（公开02表）</w:t>
      </w:r>
    </w:p>
    <w:p>
      <w:pPr>
        <w:widowControl/>
        <w:spacing w:after="0" w:line="560" w:lineRule="exact"/>
        <w:jc w:val="left"/>
        <w:rPr>
          <w:rFonts w:ascii="仿宋" w:hAnsi="仿宋" w:eastAsia="仿宋" w:cs="宋体"/>
          <w:b/>
          <w:bCs/>
          <w:sz w:val="28"/>
          <w:szCs w:val="28"/>
        </w:rPr>
      </w:pPr>
      <w:r>
        <w:rPr>
          <w:rFonts w:hint="eastAsia" w:ascii="仿宋" w:hAnsi="仿宋" w:eastAsia="仿宋" w:cs="宋体"/>
          <w:b/>
          <w:bCs/>
          <w:sz w:val="28"/>
          <w:szCs w:val="28"/>
        </w:rPr>
        <w:t>三、支出决算表（公开03表）</w:t>
      </w:r>
    </w:p>
    <w:p>
      <w:pPr>
        <w:widowControl/>
        <w:spacing w:after="0" w:line="560" w:lineRule="exact"/>
        <w:jc w:val="left"/>
        <w:rPr>
          <w:rFonts w:ascii="仿宋" w:hAnsi="仿宋" w:eastAsia="仿宋" w:cs="宋体"/>
          <w:b/>
          <w:bCs/>
          <w:sz w:val="28"/>
          <w:szCs w:val="28"/>
        </w:rPr>
      </w:pPr>
      <w:r>
        <w:rPr>
          <w:rFonts w:hint="eastAsia" w:ascii="仿宋" w:hAnsi="仿宋" w:eastAsia="仿宋" w:cs="宋体"/>
          <w:b/>
          <w:bCs/>
          <w:sz w:val="28"/>
          <w:szCs w:val="28"/>
        </w:rPr>
        <w:t>四、财政拨款收入支出决算总表（公开04表）</w:t>
      </w:r>
    </w:p>
    <w:p>
      <w:pPr>
        <w:widowControl/>
        <w:spacing w:after="0" w:line="560" w:lineRule="exact"/>
        <w:jc w:val="left"/>
        <w:rPr>
          <w:rFonts w:ascii="仿宋" w:hAnsi="仿宋" w:eastAsia="仿宋" w:cs="宋体"/>
          <w:b/>
          <w:bCs/>
          <w:sz w:val="28"/>
          <w:szCs w:val="28"/>
        </w:rPr>
      </w:pPr>
      <w:r>
        <w:rPr>
          <w:rFonts w:hint="eastAsia" w:ascii="仿宋" w:hAnsi="仿宋" w:eastAsia="仿宋" w:cs="宋体"/>
          <w:b/>
          <w:bCs/>
          <w:sz w:val="28"/>
          <w:szCs w:val="28"/>
        </w:rPr>
        <w:t>五、一般公共预算财政拨款支出决算表（公开05表）</w:t>
      </w:r>
    </w:p>
    <w:p>
      <w:pPr>
        <w:widowControl/>
        <w:spacing w:after="0" w:line="560" w:lineRule="exact"/>
        <w:jc w:val="left"/>
        <w:rPr>
          <w:rFonts w:ascii="仿宋" w:hAnsi="仿宋" w:eastAsia="仿宋" w:cs="宋体"/>
          <w:b/>
          <w:bCs/>
          <w:sz w:val="28"/>
          <w:szCs w:val="28"/>
        </w:rPr>
      </w:pPr>
      <w:r>
        <w:rPr>
          <w:rFonts w:hint="eastAsia" w:ascii="仿宋" w:hAnsi="仿宋" w:eastAsia="仿宋" w:cs="宋体"/>
          <w:b/>
          <w:bCs/>
          <w:sz w:val="28"/>
          <w:szCs w:val="28"/>
        </w:rPr>
        <w:t>六、一般公共预算财政拨款基本支出决算表（公开06表）</w:t>
      </w:r>
    </w:p>
    <w:p>
      <w:pPr>
        <w:widowControl/>
        <w:spacing w:after="0" w:line="560" w:lineRule="exact"/>
        <w:jc w:val="left"/>
        <w:rPr>
          <w:rFonts w:ascii="仿宋" w:hAnsi="仿宋" w:eastAsia="仿宋" w:cs="宋体"/>
          <w:b/>
          <w:bCs/>
          <w:sz w:val="28"/>
          <w:szCs w:val="28"/>
        </w:rPr>
      </w:pPr>
      <w:r>
        <w:rPr>
          <w:rFonts w:hint="eastAsia" w:ascii="仿宋" w:hAnsi="仿宋" w:eastAsia="仿宋" w:cs="宋体"/>
          <w:b/>
          <w:bCs/>
          <w:sz w:val="28"/>
          <w:szCs w:val="28"/>
        </w:rPr>
        <w:t>七、一般公共预算财政拨款“三公”经费支出决算表（公开07表）</w:t>
      </w:r>
    </w:p>
    <w:p>
      <w:pPr>
        <w:widowControl/>
        <w:spacing w:after="0" w:line="560" w:lineRule="exact"/>
        <w:jc w:val="left"/>
        <w:rPr>
          <w:rFonts w:ascii="仿宋" w:hAnsi="仿宋" w:eastAsia="仿宋" w:cs="宋体"/>
          <w:b/>
          <w:bCs/>
          <w:sz w:val="28"/>
          <w:szCs w:val="28"/>
        </w:rPr>
      </w:pPr>
      <w:r>
        <w:rPr>
          <w:rFonts w:hint="eastAsia" w:ascii="仿宋" w:hAnsi="仿宋" w:eastAsia="仿宋" w:cs="宋体"/>
          <w:b/>
          <w:bCs/>
          <w:sz w:val="28"/>
          <w:szCs w:val="28"/>
        </w:rPr>
        <w:t>八、政府性基金预算财政拨款收入支出决算表（公开08表）</w:t>
      </w:r>
    </w:p>
    <w:p>
      <w:pPr>
        <w:widowControl/>
        <w:spacing w:after="0" w:line="560" w:lineRule="exact"/>
        <w:jc w:val="left"/>
        <w:rPr>
          <w:rFonts w:ascii="仿宋" w:hAnsi="仿宋" w:eastAsia="仿宋" w:cs="宋体"/>
          <w:b/>
          <w:bCs/>
          <w:sz w:val="28"/>
          <w:szCs w:val="28"/>
        </w:rPr>
      </w:pPr>
      <w:r>
        <w:rPr>
          <w:rFonts w:hint="eastAsia" w:ascii="仿宋" w:hAnsi="仿宋" w:eastAsia="仿宋" w:cs="宋体"/>
          <w:b/>
          <w:bCs/>
          <w:sz w:val="28"/>
          <w:szCs w:val="28"/>
        </w:rPr>
        <w:t>九、国有资本经营预算财政拨款收入支出决算表（公开09表）</w:t>
      </w:r>
    </w:p>
    <w:p>
      <w:pPr>
        <w:widowControl/>
        <w:spacing w:after="0" w:line="560" w:lineRule="exact"/>
        <w:jc w:val="left"/>
        <w:rPr>
          <w:rFonts w:ascii="仿宋" w:hAnsi="仿宋" w:eastAsia="仿宋" w:cs="宋体"/>
          <w:b/>
          <w:bCs/>
          <w:sz w:val="28"/>
          <w:szCs w:val="28"/>
        </w:rPr>
      </w:pPr>
      <w:r>
        <w:rPr>
          <w:rFonts w:hint="eastAsia" w:ascii="仿宋" w:hAnsi="仿宋" w:eastAsia="仿宋" w:cs="宋体"/>
          <w:b/>
          <w:bCs/>
          <w:sz w:val="28"/>
          <w:szCs w:val="28"/>
        </w:rPr>
        <w:t>十、政府采购情况表（公开10表）</w:t>
      </w:r>
    </w:p>
    <w:p>
      <w:pPr>
        <w:widowControl/>
        <w:spacing w:after="0" w:line="560" w:lineRule="exact"/>
        <w:jc w:val="left"/>
        <w:rPr>
          <w:rFonts w:hint="eastAsia" w:ascii="仿宋" w:hAnsi="仿宋" w:eastAsia="仿宋" w:cs="宋体"/>
          <w:b/>
          <w:bCs/>
          <w:sz w:val="28"/>
          <w:szCs w:val="28"/>
        </w:rPr>
      </w:pPr>
      <w:r>
        <w:rPr>
          <w:rFonts w:hint="eastAsia" w:ascii="仿宋" w:hAnsi="仿宋" w:eastAsia="仿宋" w:cs="宋体"/>
          <w:b/>
          <w:bCs/>
          <w:sz w:val="28"/>
          <w:szCs w:val="28"/>
        </w:rPr>
        <w:t>详见附表：《中共高邑县委党史研究室2018年度部门决算公开</w:t>
      </w:r>
      <w:r>
        <w:rPr>
          <w:rFonts w:hint="eastAsia" w:ascii="仿宋" w:hAnsi="仿宋" w:eastAsia="仿宋" w:cs="宋体"/>
          <w:b/>
          <w:bCs/>
          <w:sz w:val="28"/>
          <w:szCs w:val="28"/>
          <w:lang w:eastAsia="zh-CN"/>
        </w:rPr>
        <w:t>表</w:t>
      </w:r>
      <w:r>
        <w:rPr>
          <w:rFonts w:hint="eastAsia" w:ascii="仿宋" w:hAnsi="仿宋" w:eastAsia="仿宋" w:cs="宋体"/>
          <w:b/>
          <w:bCs/>
          <w:sz w:val="28"/>
          <w:szCs w:val="28"/>
        </w:rPr>
        <w:t>》</w:t>
      </w:r>
    </w:p>
    <w:p>
      <w:pPr>
        <w:widowControl/>
        <w:spacing w:after="0" w:line="560" w:lineRule="exact"/>
        <w:jc w:val="left"/>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9024" behindDoc="1" locked="0" layoutInCell="1" allowOverlap="1">
            <wp:simplePos x="0" y="0"/>
            <wp:positionH relativeFrom="column">
              <wp:posOffset>-1007745</wp:posOffset>
            </wp:positionH>
            <wp:positionV relativeFrom="paragraph">
              <wp:posOffset>-1336675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59" o:spid="_x0000_s1059" o:spt="202" type="#_x0000_t202" style="position:absolute;left:0pt;margin-left:-78.7pt;margin-top:232.8pt;height:159.1pt;width:596.2pt;z-index:25165619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56" o:spid="_x0000_s1056" o:spt="203" style="position:absolute;left:0pt;margin-left:91.7pt;margin-top:88.55pt;height:36.95pt;width:301.85pt;mso-position-horizontal-relative:page;mso-position-vertical-relative:page;z-index:251669504;mso-width-relative:page;mso-height-relative:page;" coordorigin="4551,52615" coordsize="8546,1175203" o:gfxdata="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SFbsgdoAAAAKAQAADwAAAAAAAAABACAAAAAiAAAAZHJzL2Rvd25yZXYueG1sUEsBAhQAFAAA&#10;AAgAh07iQAIpYlxDAwAAPAkAAA4AAAAAAAAAAQAgAAAAKQEAAGRycy9lMm9Eb2MueG1sUEsFBgAA&#10;AAAGAAYAWQEAAN4GAAAAAA==&#10;">
            <o:lock v:ext="edit"/>
            <v:rect id="矩形 13" o:spid="_x0000_s1058"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57" o:spt="1" style="position:absolute;left:4598;top:52652;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center"/>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本部门2018年度收支总计（含结转和结余）30.18万元。与2017年度决算相比，收支各增加5.84万元，增长23.99%，主要原因是人员工次支出增加。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本部门2018年度本年收入合计30.18万元，其中：财政拨款收入30.18万元，占100%；事业收入0万元，占0%；经营收入0万元，占0%；其他收入0万元，占0%。如图所示：</w:t>
      </w:r>
    </w:p>
    <w:p>
      <w:pPr>
        <w:adjustRightInd w:val="0"/>
        <w:snapToGrid w:val="0"/>
        <w:spacing w:after="0" w:line="240" w:lineRule="atLeast"/>
        <w:ind w:firstLine="1260" w:firstLineChars="600"/>
        <w:rPr>
          <w:rFonts w:ascii="仿宋_GB2312" w:eastAsia="仿宋_GB2312" w:cs="DengXian-Regular"/>
          <w:sz w:val="32"/>
          <w:szCs w:val="32"/>
        </w:rPr>
      </w:pPr>
      <w:r>
        <w:drawing>
          <wp:inline distT="0" distB="0" distL="114300" distR="114300">
            <wp:extent cx="4572000" cy="2733675"/>
            <wp:effectExtent l="4445" t="4445" r="14605" b="5080"/>
            <wp:docPr id="2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r>
        <w:rPr>
          <w:sz w:val="32"/>
        </w:rPr>
        <w:pict>
          <v:shape id="_x0000_s1055" o:spid="_x0000_s1055" o:spt="202" type="#_x0000_t202" style="position:absolute;left:0pt;margin-left:144.2pt;margin-top:233.1pt;height:32.1pt;width:194.15pt;z-index:251658240;mso-width-relative:page;mso-height-relative:page;" fillcolor="#FFFFFF" filled="t" stroked="t" coordsize="21600,21600" o:gfxdata="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Mk35+XcAAAACwEAAA8AAAAAAAAAAQAgAAAA&#10;IgAAAGRycy9kb3ducmV2LnhtbFBLAQIUABQAAAAIAIdO4kCXfuBGeQIAAOgEAAAOAAAAAAAAAAEA&#10;IAAAACsBAABkcnMvZTJvRG9jLnhtbFBLBQYAAAAABgAGAFkBAAAWBgAAAAA=&#10;">
            <v:path/>
            <v:fill on="t" focussize="0,0"/>
            <v:stroke weight="0.5pt" color="#C87D0E" joinstyle="round"/>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w:pict>
      </w: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本部门2018年度本年支出合计30.18万元，其中：基本支出27.58万元，占91.39%；项目支出2.6万元，占8.61%；经营支出0万元，占0%。如图所示：</w:t>
      </w:r>
    </w:p>
    <w:p>
      <w:pPr>
        <w:adjustRightInd w:val="0"/>
        <w:snapToGrid w:val="0"/>
        <w:spacing w:after="0" w:line="240" w:lineRule="atLeast"/>
        <w:ind w:firstLine="1260" w:firstLineChars="600"/>
        <w:rPr>
          <w:rFonts w:ascii="仿宋_GB2312" w:eastAsia="仿宋_GB2312" w:cs="DengXian-Regular"/>
          <w:sz w:val="32"/>
          <w:szCs w:val="32"/>
        </w:rPr>
      </w:pPr>
      <w:r>
        <w:drawing>
          <wp:inline distT="0" distB="0" distL="114300" distR="114300">
            <wp:extent cx="4572000" cy="2743200"/>
            <wp:effectExtent l="4445" t="4445" r="14605" b="14605"/>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adjustRightInd w:val="0"/>
        <w:snapToGrid w:val="0"/>
        <w:spacing w:after="0" w:line="240" w:lineRule="atLeast"/>
        <w:ind w:firstLine="1920" w:firstLineChars="600"/>
        <w:rPr>
          <w:rFonts w:ascii="仿宋_GB2312" w:eastAsia="仿宋_GB2312" w:cs="DengXian-Regular"/>
          <w:sz w:val="32"/>
          <w:szCs w:val="32"/>
        </w:rPr>
      </w:pPr>
    </w:p>
    <w:p>
      <w:pPr>
        <w:adjustRightInd w:val="0"/>
        <w:snapToGrid w:val="0"/>
        <w:spacing w:after="0" w:line="580" w:lineRule="exact"/>
        <w:ind w:firstLine="2640" w:firstLineChars="600"/>
        <w:rPr>
          <w:rFonts w:ascii="黑体" w:eastAsia="黑体"/>
        </w:rPr>
      </w:pPr>
      <w:r>
        <w:rPr>
          <w:sz w:val="44"/>
        </w:rPr>
        <w:pict>
          <v:group id="_x0000_s1052" o:spid="_x0000_s1052" o:spt="203" style="position:absolute;left:0pt;margin-left:-0.55pt;margin-top:45.5pt;height:39.45pt;width:301.85pt;mso-position-horizontal-relative:page;mso-position-vertical-relative:page;z-index:251662336;mso-width-relative:page;mso-height-relative:page;" coordorigin="2576,43660" coordsize="8546,1255203" o:gfxdata="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DzGf3A2gAAAAsBAAAPAAAAAAAAAAEAIAAAACIAAABkcnMvZG93bnJldi54bWxQSwECFAAUAAAA&#10;CACHTuJAFaCBIkIDAAA8CQAADgAAAAAAAAABACAAAAApAQAAZHJzL2Uyb0RvYy54bWxQSwUGAAAA&#10;AAYABgBZAQAA3QYAAAAA&#10;">
            <o:lock v:ext="edit"/>
            <v:rect id="矩形 13" o:spid="_x0000_s1054" o:spt="1" style="position:absolute;left:2576;top:43740;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3" o:spt="1" style="position:absolute;left:2580;top:4366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30.18万元,比2017年度增加5.84万元，增长23.99%，主要是人员工资增加；本年支出30.18万元，增加5.84万元，增长23.99%，主要是人员工资增加。</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44928" behindDoc="1" locked="0" layoutInCell="1" allowOverlap="1">
            <wp:simplePos x="0" y="0"/>
            <wp:positionH relativeFrom="column">
              <wp:posOffset>471170</wp:posOffset>
            </wp:positionH>
            <wp:positionV relativeFrom="paragraph">
              <wp:posOffset>194310</wp:posOffset>
            </wp:positionV>
            <wp:extent cx="4572000" cy="2743200"/>
            <wp:effectExtent l="4445" t="4445" r="14605" b="14605"/>
            <wp:wrapTight wrapText="bothSides">
              <wp:wrapPolygon>
                <wp:start x="-21" y="-35"/>
                <wp:lineTo x="-21" y="21565"/>
                <wp:lineTo x="21579" y="21565"/>
                <wp:lineTo x="21579" y="-35"/>
                <wp:lineTo x="-21" y="-35"/>
              </wp:wrapPolygon>
            </wp:wrapTight>
            <wp:docPr id="1"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27.4万元，完成年初预算的103.40%,比年初预算增加0.9万元，决算数大于预算数主要原因是上年度结余；本年支出30.18万元，完成年初预算的138.87%,比年初预算增加3.68万元，决算数大于</w:t>
      </w:r>
      <w:r>
        <w:rPr>
          <w:sz w:val="44"/>
        </w:rPr>
        <w:pict>
          <v:group id="_x0000_s1049" o:spid="_x0000_s1049" o:spt="203" style="position:absolute;left:0pt;margin-left:-0.55pt;margin-top:29.3pt;height:43.95pt;width:301.85pt;mso-position-horizontal-relative:page;mso-position-vertical-relative:page;z-index:251663360;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En7KztsAAAALAQAADwAAAAAAAAABACAAAAAiAAAAZHJzL2Rvd25yZXYueG1sUEsBAhQA&#10;FAAAAAgAh07iQDKzEipFAwAAPAkAAA4AAAAAAAAAAQAgAAAAKgEAAGRycy9lMm9Eb2MueG1sUEsF&#10;BgAAAAAGAAYAWQEAAOEGAAAAAA==&#10;">
            <o:lock v:ext="edit"/>
            <v:rect id="矩形 13" o:spid="_x0000_s1051" o:spt="1" style="position:absolute;left:4551;top:52615;height:1175;width:8546;v-text-anchor:middle;" fillcolor="#D9D9D9"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50" o:spt="1" style="position:absolute;left:4577;top:52890;height:1123;width:832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预算数主要原因是党史二卷编辑费用支出增加。</w: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240" w:lineRule="atLeast"/>
        <w:ind w:firstLine="420" w:firstLineChars="200"/>
        <w:rPr>
          <w:rFonts w:ascii="仿宋_GB2312" w:eastAsia="仿宋_GB2312" w:cs="DengXian-Regular"/>
          <w:sz w:val="32"/>
          <w:szCs w:val="32"/>
          <w:highlight w:val="yellow"/>
        </w:rPr>
      </w:pPr>
      <w:r>
        <w:drawing>
          <wp:inline distT="0" distB="0" distL="114300" distR="114300">
            <wp:extent cx="4572000" cy="2743200"/>
            <wp:effectExtent l="4445" t="4445" r="14605" b="14605"/>
            <wp:docPr id="24"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rPr>
          <w:rFonts w:ascii="楷体_GB2312" w:eastAsia="楷体_GB2312" w:cs="DengXian-Bold"/>
          <w:b/>
          <w:bCs/>
          <w:sz w:val="32"/>
          <w:szCs w:val="32"/>
        </w:rPr>
      </w:pPr>
      <w:r>
        <w:drawing>
          <wp:anchor distT="0" distB="0" distL="114300" distR="114300" simplePos="0" relativeHeight="251652096" behindDoc="1" locked="0" layoutInCell="1" allowOverlap="1">
            <wp:simplePos x="0" y="0"/>
            <wp:positionH relativeFrom="column">
              <wp:posOffset>652145</wp:posOffset>
            </wp:positionH>
            <wp:positionV relativeFrom="paragraph">
              <wp:posOffset>2397760</wp:posOffset>
            </wp:positionV>
            <wp:extent cx="3705860" cy="2248535"/>
            <wp:effectExtent l="4445" t="4445" r="23495" b="13970"/>
            <wp:wrapTight wrapText="bothSides">
              <wp:wrapPolygon>
                <wp:start x="-26" y="-43"/>
                <wp:lineTo x="-26" y="21551"/>
                <wp:lineTo x="21515" y="21551"/>
                <wp:lineTo x="21515" y="-43"/>
                <wp:lineTo x="-26" y="-43"/>
              </wp:wrapPolygon>
            </wp:wrapTight>
            <wp:docPr id="2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rFonts w:hint="eastAsia" w:ascii="仿宋_GB2312" w:eastAsia="仿宋_GB2312" w:cs="DengXian-Regular"/>
          <w:sz w:val="32"/>
          <w:szCs w:val="32"/>
        </w:rPr>
        <w:t>2018 年度财政拨款支出30.18万元，主要用于以下方面，一般公共服务（类）支出30.18万元，占100%；一般公共服务（类）支出0万元，占0%；公共安全类（类）支出0万元，占0%；教育（类）支出0万元，占0%；科学技术（类）支出0万元，占0%；社会保障和就业（类）支出 0万元，占0%；住房保障（类）支出0万元，占 0%。</w:t>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年度一般公共预算财政拨款基本支出30.18万元，其中：人员经费 20.37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7.21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b w:val="0"/>
          <w:bCs w:val="0"/>
          <w:sz w:val="32"/>
          <w:szCs w:val="32"/>
        </w:rPr>
        <w:t>较年初预算</w:t>
      </w:r>
      <w:r>
        <w:rPr>
          <w:rFonts w:hint="eastAsia" w:ascii="仿宋_GB2312" w:eastAsia="仿宋_GB2312" w:cs="DengXian-Regular"/>
          <w:b w:val="0"/>
          <w:bCs w:val="0"/>
          <w:sz w:val="32"/>
          <w:szCs w:val="32"/>
          <w:lang w:eastAsia="zh-CN"/>
        </w:rPr>
        <w:t>减少</w:t>
      </w:r>
      <w:r>
        <w:rPr>
          <w:rFonts w:hint="eastAsia" w:ascii="仿宋_GB2312" w:eastAsia="仿宋_GB2312" w:cs="DengXian-Regular"/>
          <w:b w:val="0"/>
          <w:bCs w:val="0"/>
          <w:sz w:val="32"/>
          <w:szCs w:val="32"/>
          <w:lang w:val="en-US" w:eastAsia="zh-CN"/>
        </w:rPr>
        <w:t>1.04</w:t>
      </w:r>
      <w:r>
        <w:rPr>
          <w:rFonts w:hint="eastAsia" w:ascii="仿宋_GB2312" w:eastAsia="仿宋_GB2312" w:cs="DengXian-Regular"/>
          <w:b w:val="0"/>
          <w:bCs w:val="0"/>
          <w:sz w:val="32"/>
          <w:szCs w:val="32"/>
        </w:rPr>
        <w:t>万元，</w:t>
      </w:r>
      <w:r>
        <w:rPr>
          <w:rFonts w:hint="eastAsia" w:ascii="仿宋_GB2312" w:eastAsia="仿宋_GB2312" w:cs="DengXian-Regular"/>
          <w:b w:val="0"/>
          <w:bCs w:val="0"/>
          <w:sz w:val="32"/>
          <w:szCs w:val="32"/>
          <w:lang w:eastAsia="zh-CN"/>
        </w:rPr>
        <w:t>降低</w:t>
      </w:r>
      <w:r>
        <w:rPr>
          <w:rFonts w:hint="eastAsia" w:ascii="仿宋_GB2312" w:eastAsia="仿宋_GB2312" w:cs="DengXian-Regular"/>
          <w:b w:val="0"/>
          <w:bCs w:val="0"/>
          <w:sz w:val="32"/>
          <w:szCs w:val="32"/>
          <w:lang w:val="en-US" w:eastAsia="zh-CN"/>
        </w:rPr>
        <w:t>100</w:t>
      </w:r>
      <w:r>
        <w:rPr>
          <w:rFonts w:hint="eastAsia" w:ascii="仿宋_GB2312" w:eastAsia="仿宋_GB2312" w:cs="DengXian-Regular"/>
          <w:b w:val="0"/>
          <w:bCs w:val="0"/>
          <w:sz w:val="32"/>
          <w:szCs w:val="32"/>
        </w:rPr>
        <w:t>%</w:t>
      </w:r>
      <w:r>
        <w:rPr>
          <w:rFonts w:hint="default" w:ascii="仿宋_GB2312" w:eastAsia="仿宋_GB2312" w:cs="DengXian-Regular"/>
          <w:b w:val="0"/>
          <w:bCs w:val="0"/>
          <w:sz w:val="32"/>
          <w:szCs w:val="32"/>
        </w:rPr>
        <w:t>，</w:t>
      </w:r>
      <w:r>
        <w:rPr>
          <w:rFonts w:hint="eastAsia" w:ascii="仿宋_GB2312" w:eastAsia="仿宋_GB2312" w:cs="DengXian-Regular"/>
          <w:b w:val="0"/>
          <w:bCs w:val="0"/>
          <w:sz w:val="32"/>
          <w:szCs w:val="32"/>
          <w:lang w:val="en-US" w:eastAsia="zh-Hans"/>
        </w:rPr>
        <w:t>主要</w:t>
      </w:r>
      <w:r>
        <w:rPr>
          <w:rFonts w:hint="eastAsia" w:ascii="仿宋_GB2312" w:eastAsia="仿宋_GB2312" w:cs="DengXian-Regular"/>
          <w:sz w:val="32"/>
          <w:szCs w:val="32"/>
          <w:lang w:eastAsia="zh-CN"/>
        </w:rPr>
        <w:t>是认真贯彻落实上级关于厉行节约的各项要求，进一步从严控制“三公经费”开支</w:t>
      </w:r>
      <w:r>
        <w:rPr>
          <w:rFonts w:hint="default" w:ascii="仿宋_GB2312" w:eastAsia="仿宋_GB2312" w:cs="DengXian-Regular"/>
          <w:sz w:val="32"/>
          <w:szCs w:val="32"/>
          <w:lang w:eastAsia="zh-CN"/>
        </w:rPr>
        <w:t>。</w:t>
      </w:r>
      <w:r>
        <w:rPr>
          <w:rFonts w:hint="eastAsia" w:ascii="仿宋_GB2312" w:eastAsia="仿宋_GB2312" w:cs="DengXian-Regular"/>
          <w:sz w:val="32"/>
          <w:szCs w:val="32"/>
        </w:rPr>
        <w:t>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6438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w:t>
      </w:r>
      <w:r>
        <w:rPr>
          <w:rFonts w:hint="eastAsia" w:ascii="仿宋_GB2312" w:eastAsia="仿宋_GB2312" w:cs="DengXian-Regular"/>
          <w:sz w:val="32"/>
          <w:szCs w:val="32"/>
          <w:lang w:eastAsia="zh-CN"/>
        </w:rPr>
        <w:t>增加</w:t>
      </w:r>
      <w:r>
        <w:rPr>
          <w:rFonts w:hint="eastAsia" w:ascii="仿宋_GB2312" w:eastAsia="仿宋_GB2312" w:cs="DengXian-Regular"/>
          <w:sz w:val="32"/>
          <w:szCs w:val="32"/>
          <w:lang w:val="en-US" w:eastAsia="zh-CN"/>
        </w:rPr>
        <w:t>0万</w:t>
      </w:r>
      <w:r>
        <w:rPr>
          <w:rFonts w:hint="eastAsia" w:ascii="仿宋_GB2312" w:eastAsia="仿宋_GB2312" w:cs="DengXian-Regular"/>
          <w:sz w:val="32"/>
          <w:szCs w:val="32"/>
        </w:rPr>
        <w:t>元，</w:t>
      </w:r>
      <w:r>
        <w:rPr>
          <w:rFonts w:hint="eastAsia" w:ascii="仿宋_GB2312" w:eastAsia="仿宋_GB2312" w:cs="DengXian-Regular"/>
          <w:sz w:val="32"/>
          <w:szCs w:val="32"/>
          <w:lang w:eastAsia="zh-CN"/>
        </w:rPr>
        <w:t>增长</w:t>
      </w:r>
      <w:r>
        <w:rPr>
          <w:rFonts w:hint="eastAsia" w:ascii="仿宋_GB2312" w:eastAsia="仿宋_GB2312" w:cs="DengXian-Regular"/>
          <w:sz w:val="32"/>
          <w:szCs w:val="32"/>
        </w:rPr>
        <w:t>0%，与上一年度持平。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10</w:t>
      </w:r>
      <w:r>
        <w:rPr>
          <w:rFonts w:hint="eastAsia" w:ascii="仿宋_GB2312" w:eastAsia="仿宋_GB2312" w:cs="DengXian-Regular"/>
          <w:sz w:val="32"/>
          <w:szCs w:val="32"/>
        </w:rPr>
        <w:t>0%，</w:t>
      </w:r>
      <w:r>
        <w:rPr>
          <w:rFonts w:hint="eastAsia" w:ascii="仿宋_GB2312" w:eastAsia="仿宋_GB2312" w:cs="DengXian-Regular"/>
          <w:sz w:val="32"/>
          <w:szCs w:val="32"/>
          <w:lang w:eastAsia="zh-CN"/>
        </w:rPr>
        <w:t>原因是认真贯彻落实上级关于厉行节约的各项要求，进一步从严控制“三公经费”开支</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b/>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本部门2018年度公务用车购置量0辆，发生“公务用车购置”经费支出0万元。公务用车购置费支出较年初预算增加0万元，增长0%，与上一年度持平。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本部门2018年度单位公务用车保有量0辆，公车运行维护费支出较年初预算</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降低</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w:t>
      </w:r>
      <w:r>
        <w:rPr>
          <w:rFonts w:hint="eastAsia" w:ascii="仿宋_GB2312" w:eastAsia="仿宋_GB2312" w:cs="DengXian-Regular"/>
          <w:sz w:val="32"/>
          <w:szCs w:val="32"/>
          <w:lang w:eastAsia="zh-CN"/>
        </w:rPr>
        <w:t>原因是认真贯彻落实上级关于厉行节约的各项要求，进一步从严控制“三公经费”开支</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w:pict>
          <v:group id="_x0000_s1043" o:spid="_x0000_s1043" o:spt="203" style="position:absolute;left:0pt;margin-left:11.45pt;margin-top:41.3pt;height:43.95pt;width:301.85pt;mso-position-horizontal-relative:page;mso-position-vertical-relative:page;z-index:251670528;mso-width-relative:page;mso-height-relative:page;" coordorigin="4551,52615" coordsize="8546,1398203" o:gfxdata="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Dkz&#10;wB/bAAAACwEAAA8AAAAAAAAAAQAgAAAAIgAAAGRycy9kb3ducmV2LnhtbFBLAQIUABQAAAAIAIdO&#10;4kCBjSnxPQMAADgJAAAOAAAAAAAAAAEAIAAAACoBAABkcnMvZTJvRG9jLnhtbFBLBQYAAAAABgAG&#10;AFkBAADZBgAAAAA=&#10;">
            <o:lock v:ext="edit"/>
            <v:rect id="矩形 13" o:spid="_x0000_s1045" o:spt="1" style="position:absolute;left:4551;top:52615;height:1175;width:8546;v-text-anchor:middle;" fillcolor="#D9D9D9" filled="t" stroked="f" coordsize="21600,21600" o:gfxdata="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Pk4ke8AAAA&#10;2gAAAA8AAAAAAAAAAQAgAAAAIgAAAGRycy9kb3ducmV2LnhtbFBLAQIUABQAAAAIAIdO4kAzLwWe&#10;OwAAADkAAAAQAAAAAAAAAAEAIAAAAAsBAABkcnMvc2hhcGV4bWwueG1sUEsFBgAAAAAGAAYAWwEA&#10;ALUDA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uASVcrwAAADa&#10;AAAADwAAAGRycy9kb3ducmV2LnhtbEWPQWvCQBSE7wX/w/KE3uquHtI0dRUUlB6tWr0+sq9JMPs2&#10;7K6J+ffdQqHHYWa+YZbrh21FTz40jjXMZwoEcelMw5WG82n3koMIEdlg65g0jBRgvZo8LbEwbuBP&#10;6o+xEgnCoUANdYxdIWUoa7IYZq4jTt638xZjkr6SxuOQ4LaVC6UyabHhtFBjR9uaytvxbjVkh83W&#10;lad8f/HXRh3cfTfmr19aP0/n6h1EpEf8D/+1P4yGN/i9km6AXP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gElXK8AAAA&#10;2g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本部门2018年度公务接待共0批次、0人次。公务接待费支出较年初预算</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0.04</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降低</w:t>
      </w:r>
      <w:r>
        <w:rPr>
          <w:rFonts w:hint="eastAsia" w:ascii="仿宋_GB2312" w:eastAsia="仿宋_GB2312" w:cs="DengXian-Regular"/>
          <w:sz w:val="32"/>
          <w:szCs w:val="32"/>
          <w:lang w:val="en-US" w:eastAsia="zh-CN"/>
        </w:rPr>
        <w:t>10</w:t>
      </w:r>
      <w:r>
        <w:rPr>
          <w:rFonts w:hint="eastAsia" w:ascii="仿宋_GB2312" w:eastAsia="仿宋_GB2312" w:cs="DengXian-Regular"/>
          <w:sz w:val="32"/>
          <w:szCs w:val="32"/>
        </w:rPr>
        <w:t>0%，</w:t>
      </w:r>
      <w:r>
        <w:rPr>
          <w:rFonts w:hint="eastAsia" w:ascii="仿宋_GB2312" w:eastAsia="仿宋_GB2312" w:cs="DengXian-Regular"/>
          <w:sz w:val="32"/>
          <w:szCs w:val="32"/>
          <w:lang w:eastAsia="zh-CN"/>
        </w:rPr>
        <w:t>原因是认真贯彻落实上级关于厉行节约的各项要求，进一步从严控制“三公经费”开支</w:t>
      </w:r>
      <w:r>
        <w:rPr>
          <w:sz w:val="44"/>
        </w:rPr>
        <w:pict>
          <v:group id="_x0000_s1040" o:spid="_x0000_s1040" o:spt="203" style="position:absolute;left:0pt;margin-left:-0.55pt;margin-top:29.3pt;height:43.95pt;width:301.85pt;mso-position-horizontal-relative:page;mso-position-vertical-relative:page;z-index:25166540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v:rect id="矩形 13" o:spid="_x0000_s1042"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1"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highlight w:val="yellow"/>
        </w:rPr>
      </w:pPr>
    </w:p>
    <w:p>
      <w:pPr>
        <w:pStyle w:val="3"/>
        <w:spacing w:before="0" w:after="0" w:line="50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（一）绩效管理工作开展情况。根据《关于开展2018年度财政专项资金部门绩效自评价工作的通知》（石财绩[2019]</w:t>
      </w:r>
      <w:r>
        <w:rPr>
          <w:rFonts w:hint="eastAsia" w:ascii="仿宋_GB2312" w:eastAsia="仿宋_GB2312" w:cs="DengXian-Regular"/>
          <w:sz w:val="32"/>
          <w:szCs w:val="32"/>
        </w:rPr>
        <w:t>1号），本单位认真开展了预算绩效管理改革开展情况自查，对部门全面规范绩效预算编制、严格预算执行管理、推进绩</w:t>
      </w:r>
      <w:bookmarkStart w:id="0" w:name="_GoBack"/>
      <w:bookmarkEnd w:id="0"/>
      <w:r>
        <w:rPr>
          <w:rFonts w:hint="eastAsia" w:ascii="仿宋_GB2312" w:eastAsia="仿宋_GB2312" w:cs="DengXian-Regular"/>
          <w:sz w:val="32"/>
          <w:szCs w:val="32"/>
        </w:rPr>
        <w:t>效评价工作、推进预决算信息公开等方面进行了自评，考核结果为良好。</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高邑革命老区发展史》等2个项目，涉及资金2.6万元。从评价情况看，评价结果为良好的项目有2个。</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本单位《高邑革命老区发展史》项目绩效自评：根据年初设定的绩效目标，《高邑革命老区发展史》项目绩效自评结果为良好。项目全年预算数为2.6万元，执行数为2.6万元，完成预算的100%。主要产出和效果是完成了《高邑革命老区发展史》。</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本部门2018年度机关运行经费支出27.58万元，比年初预算数增加1.08万元，增长4.08%。主要原因是人员工资增加。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pStyle w:val="4"/>
        <w:spacing w:before="0" w:after="0" w:line="580" w:lineRule="exact"/>
        <w:ind w:firstLine="640" w:firstLineChars="200"/>
        <w:rPr>
          <w:rFonts w:ascii="仿宋_GB2312" w:hAnsi="仿宋_GB2312" w:eastAsia="仿宋_GB2312" w:cs="仿宋_GB2312"/>
          <w:b w:val="0"/>
          <w:bCs w:val="0"/>
          <w:color w:val="000000"/>
          <w:kern w:val="0"/>
        </w:rPr>
      </w:pPr>
      <w:r>
        <w:rPr>
          <w:rFonts w:hint="eastAsia" w:ascii="仿宋_GB2312" w:eastAsia="仿宋_GB2312" w:cs="DengXian-Regular"/>
          <w:b w:val="0"/>
          <w:bCs w:val="0"/>
        </w:rPr>
        <w:t>本部门2018年度政府采购支出总额0万元，从采购类型来看，</w:t>
      </w:r>
      <w:r>
        <w:rPr>
          <w:rFonts w:ascii="仿宋_GB2312" w:hAnsi="仿宋_GB2312" w:eastAsia="仿宋_GB2312" w:cs="仿宋_GB2312"/>
          <w:b w:val="0"/>
          <w:bCs w:val="0"/>
          <w:color w:val="000000"/>
          <w:kern w:val="0"/>
        </w:rPr>
        <w:t>政府采购货物支出</w:t>
      </w:r>
      <w:r>
        <w:rPr>
          <w:rFonts w:hint="eastAsia" w:ascii="仿宋_GB2312" w:hAnsi="仿宋_GB2312" w:eastAsia="仿宋_GB2312" w:cs="仿宋_GB2312"/>
          <w:b w:val="0"/>
          <w:bCs w:val="0"/>
          <w:color w:val="000000"/>
          <w:kern w:val="0"/>
        </w:rPr>
        <w:t>0</w:t>
      </w:r>
      <w:r>
        <w:rPr>
          <w:rFonts w:ascii="仿宋_GB2312" w:hAnsi="仿宋_GB2312" w:eastAsia="仿宋_GB2312" w:cs="仿宋_GB2312"/>
          <w:b w:val="0"/>
          <w:bCs w:val="0"/>
          <w:color w:val="000000"/>
          <w:kern w:val="0"/>
        </w:rPr>
        <w:t>万元、政府采购工程支出</w:t>
      </w:r>
      <w:r>
        <w:rPr>
          <w:rFonts w:hint="eastAsia" w:ascii="仿宋_GB2312" w:hAnsi="仿宋_GB2312" w:eastAsia="仿宋_GB2312" w:cs="仿宋_GB2312"/>
          <w:b w:val="0"/>
          <w:bCs w:val="0"/>
          <w:color w:val="000000"/>
          <w:kern w:val="0"/>
        </w:rPr>
        <w:t>0</w:t>
      </w:r>
      <w:r>
        <w:rPr>
          <w:rFonts w:ascii="仿宋_GB2312" w:hAnsi="仿宋_GB2312" w:eastAsia="仿宋_GB2312" w:cs="仿宋_GB2312"/>
          <w:b w:val="0"/>
          <w:bCs w:val="0"/>
          <w:color w:val="000000"/>
          <w:kern w:val="0"/>
        </w:rPr>
        <w:t>万元、政府采购服务支出</w:t>
      </w:r>
      <w:r>
        <w:rPr>
          <w:rFonts w:hint="eastAsia" w:ascii="仿宋_GB2312" w:hAnsi="仿宋_GB2312" w:eastAsia="仿宋_GB2312" w:cs="仿宋_GB2312"/>
          <w:b w:val="0"/>
          <w:bCs w:val="0"/>
          <w:color w:val="000000"/>
          <w:kern w:val="0"/>
        </w:rPr>
        <w:t>0</w:t>
      </w:r>
      <w:r>
        <w:rPr>
          <w:rFonts w:ascii="仿宋_GB2312" w:hAnsi="仿宋_GB2312" w:eastAsia="仿宋_GB2312" w:cs="仿宋_GB2312"/>
          <w:b w:val="0"/>
          <w:bCs w:val="0"/>
          <w:color w:val="000000"/>
          <w:kern w:val="0"/>
        </w:rPr>
        <w:t>万元。授予中小企业合同金</w:t>
      </w:r>
      <w:r>
        <w:rPr>
          <w:rFonts w:hint="eastAsia" w:ascii="仿宋_GB2312" w:hAnsi="仿宋_GB2312" w:eastAsia="仿宋_GB2312" w:cs="仿宋_GB2312"/>
          <w:b w:val="0"/>
          <w:bCs w:val="0"/>
          <w:color w:val="000000"/>
          <w:kern w:val="0"/>
        </w:rPr>
        <w:t>0</w:t>
      </w:r>
      <w:r>
        <w:rPr>
          <w:rFonts w:ascii="仿宋_GB2312" w:hAnsi="仿宋_GB2312" w:eastAsia="仿宋_GB2312" w:cs="仿宋_GB2312"/>
          <w:b w:val="0"/>
          <w:bCs w:val="0"/>
          <w:color w:val="000000"/>
          <w:kern w:val="0"/>
        </w:rPr>
        <w:t>万元，占政府采购支出总额的</w:t>
      </w:r>
      <w:r>
        <w:rPr>
          <w:rFonts w:hint="eastAsia" w:ascii="仿宋_GB2312" w:hAnsi="仿宋_GB2312" w:eastAsia="仿宋_GB2312" w:cs="仿宋_GB2312"/>
          <w:b w:val="0"/>
          <w:bCs w:val="0"/>
          <w:color w:val="000000"/>
          <w:kern w:val="0"/>
        </w:rPr>
        <w:t>0%，</w:t>
      </w:r>
      <w:r>
        <w:rPr>
          <w:rFonts w:ascii="仿宋_GB2312" w:hAnsi="仿宋_GB2312" w:eastAsia="仿宋_GB2312" w:cs="仿宋_GB2312"/>
          <w:b w:val="0"/>
          <w:bCs w:val="0"/>
          <w:color w:val="000000"/>
          <w:kern w:val="0"/>
        </w:rPr>
        <w:t>其中授予小微企业合同金额</w:t>
      </w:r>
      <w:r>
        <w:rPr>
          <w:rFonts w:hint="eastAsia" w:ascii="仿宋_GB2312" w:hAnsi="仿宋_GB2312" w:eastAsia="仿宋_GB2312" w:cs="仿宋_GB2312"/>
          <w:b w:val="0"/>
          <w:bCs w:val="0"/>
          <w:color w:val="000000"/>
          <w:kern w:val="0"/>
        </w:rPr>
        <w:t>0</w:t>
      </w:r>
      <w:r>
        <w:rPr>
          <w:rFonts w:ascii="仿宋_GB2312" w:hAnsi="仿宋_GB2312" w:eastAsia="仿宋_GB2312" w:cs="仿宋_GB2312"/>
          <w:b w:val="0"/>
          <w:bCs w:val="0"/>
          <w:color w:val="000000"/>
          <w:kern w:val="0"/>
        </w:rPr>
        <w:t>万元，占政府采购支出总额的</w:t>
      </w:r>
      <w:r>
        <w:rPr>
          <w:rFonts w:hint="eastAsia" w:ascii="仿宋_GB2312" w:hAnsi="仿宋_GB2312" w:eastAsia="仿宋_GB2312" w:cs="仿宋_GB2312"/>
          <w:b w:val="0"/>
          <w:bCs w:val="0"/>
          <w:color w:val="000000"/>
          <w:kern w:val="0"/>
        </w:rPr>
        <w:t>0</w:t>
      </w:r>
      <w:r>
        <w:rPr>
          <w:rFonts w:ascii="仿宋_GB2312" w:hAnsi="仿宋_GB2312" w:eastAsia="仿宋_GB2312" w:cs="仿宋_GB2312"/>
          <w:b w:val="0"/>
          <w:bCs w:val="0"/>
          <w:color w:val="000000"/>
          <w:kern w:val="0"/>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0辆，比上年增加0辆。其中，副部（省）级及以上领导用车0辆，主要领导干部用车0辆，机要通信用车0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万元以上专用设备0台（套）比上年增加0套，与上一年度持平。</w:t>
      </w:r>
    </w:p>
    <w:p>
      <w:pPr>
        <w:adjustRightInd w:val="0"/>
        <w:snapToGrid w:val="0"/>
        <w:spacing w:after="0" w:line="580" w:lineRule="exact"/>
        <w:ind w:firstLine="640" w:firstLineChars="200"/>
        <w:rPr>
          <w:rFonts w:ascii="仿宋_GB2312" w:eastAsia="仿宋_GB2312" w:cs="DengXian-Regular"/>
          <w:sz w:val="32"/>
          <w:szCs w:val="32"/>
        </w:rPr>
      </w:pP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1、本部门2018年度《政府性基金预算财政拨款收入支出决算表》</w:t>
      </w:r>
      <w:r>
        <w:rPr>
          <w:rFonts w:hint="eastAsia" w:ascii="仿宋_GB2312" w:eastAsia="仿宋_GB2312" w:cs="DengXian-Regular"/>
          <w:sz w:val="32"/>
          <w:szCs w:val="32"/>
          <w:lang w:eastAsia="zh-CN"/>
        </w:rPr>
        <w:t>、《</w:t>
      </w:r>
      <w:r>
        <w:rPr>
          <w:rFonts w:hint="eastAsia" w:ascii="仿宋_GB2312" w:eastAsia="仿宋_GB2312" w:cs="DengXian-Regular"/>
          <w:sz w:val="32"/>
          <w:szCs w:val="32"/>
        </w:rPr>
        <w:t>国有资本经营预算财政拨款支出决算表</w:t>
      </w:r>
      <w:r>
        <w:rPr>
          <w:rFonts w:hint="eastAsia" w:ascii="仿宋_GB2312" w:eastAsia="仿宋_GB2312" w:cs="DengXian-Regular"/>
          <w:sz w:val="32"/>
          <w:szCs w:val="32"/>
          <w:lang w:eastAsia="zh-CN"/>
        </w:rPr>
        <w:t>》</w:t>
      </w:r>
      <w:r>
        <w:rPr>
          <w:rFonts w:hint="eastAsia" w:ascii="仿宋_GB2312" w:eastAsia="仿宋_GB2312" w:cs="DengXian-Regular"/>
          <w:sz w:val="32"/>
          <w:szCs w:val="32"/>
        </w:rPr>
        <w:t>无收支及结转结余情况</w:t>
      </w:r>
      <w:r>
        <w:rPr>
          <w:rFonts w:hint="eastAsia" w:ascii="仿宋_GB2312" w:eastAsia="仿宋_GB2312" w:cs="DengXian-Regular"/>
          <w:sz w:val="32"/>
          <w:szCs w:val="32"/>
          <w:lang w:eastAsia="zh-CN"/>
        </w:rPr>
        <w:t>，《政府采购情况表》无相关情况</w:t>
      </w:r>
      <w:r>
        <w:rPr>
          <w:rFonts w:hint="eastAsia" w:ascii="仿宋_GB2312" w:eastAsia="仿宋_GB2312" w:cs="DengXian-Regular"/>
          <w:sz w:val="32"/>
          <w:szCs w:val="32"/>
        </w:rPr>
        <w:t>，故《政府性基金预算财政拨款收入支出决算表》</w:t>
      </w:r>
      <w:r>
        <w:rPr>
          <w:rFonts w:hint="eastAsia" w:ascii="仿宋_GB2312" w:eastAsia="仿宋_GB2312" w:cs="DengXian-Regular"/>
          <w:sz w:val="32"/>
          <w:szCs w:val="32"/>
          <w:lang w:eastAsia="zh-CN"/>
        </w:rPr>
        <w:t>、《</w:t>
      </w:r>
      <w:r>
        <w:rPr>
          <w:rFonts w:hint="eastAsia" w:ascii="仿宋_GB2312" w:eastAsia="仿宋_GB2312" w:cs="DengXian-Regular"/>
          <w:sz w:val="32"/>
          <w:szCs w:val="32"/>
        </w:rPr>
        <w:t>国有资本经营预算财政拨款支出决算表</w:t>
      </w:r>
      <w:r>
        <w:rPr>
          <w:rFonts w:hint="eastAsia" w:ascii="仿宋_GB2312" w:eastAsia="仿宋_GB2312" w:cs="DengXian-Regular"/>
          <w:sz w:val="32"/>
          <w:szCs w:val="32"/>
          <w:lang w:eastAsia="zh-CN"/>
        </w:rPr>
        <w:t>》、《政府采购情况表》</w:t>
      </w:r>
      <w:r>
        <w:rPr>
          <w:rFonts w:hint="eastAsia" w:ascii="仿宋_GB2312" w:eastAsia="仿宋_GB2312" w:cs="DengXian-Regular"/>
          <w:sz w:val="32"/>
          <w:szCs w:val="32"/>
        </w:rPr>
        <w:t>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6643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z6gAj4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S&#10;fsrO2wAAAAsBAAAPAAAAAAAAAAEAIAAAACIAAABkcnMvZG93bnJldi54bWxQSwECFAAUAAAACACH&#10;TuJAvz6gAj4DAAA8CQAADgAAAAAAAAABACAAAAAqAQAAZHJzL2Uyb0RvYy54bWxQSwUGAAAAAAYA&#10;BgBZAQAA2gY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1"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50048" behindDoc="1" locked="0" layoutInCell="1" allowOverlap="1">
            <wp:simplePos x="0" y="0"/>
            <wp:positionH relativeFrom="column">
              <wp:posOffset>-1007745</wp:posOffset>
            </wp:positionH>
            <wp:positionV relativeFrom="paragraph">
              <wp:posOffset>-1336675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5721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59264;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67456;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6848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-989330</wp:posOffset>
            </wp:positionH>
            <wp:positionV relativeFrom="paragraph">
              <wp:posOffset>-1353820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embedRegular r:id="rId1" w:fontKey="{C323BAC8-97FB-AD12-3A02-CA60652DC63E}"/>
  </w:font>
  <w:font w:name="宋体">
    <w:altName w:val="汉仪书宋二KW"/>
    <w:panose1 w:val="00000000000000000000"/>
    <w:charset w:val="00"/>
    <w:family w:val="auto"/>
    <w:pitch w:val="default"/>
    <w:sig w:usb0="00000000" w:usb1="00000000" w:usb2="00000000" w:usb3="00000000" w:csb0="00000000" w:csb1="00000000"/>
  </w:font>
  <w:font w:name="DejaVu Sans">
    <w:altName w:val="苹方-简"/>
    <w:panose1 w:val="02020603050405020304"/>
    <w:charset w:val="00"/>
    <w:family w:val="roman"/>
    <w:pitch w:val="default"/>
    <w:sig w:usb0="20007A87" w:usb1="80000000" w:usb2="00000008" w:usb3="00000000" w:csb0="000001FF" w:csb1="00000000"/>
  </w:font>
  <w:font w:name="方正书宋_GBK">
    <w:panose1 w:val="02000000000000000000"/>
    <w:charset w:val="86"/>
    <w:family w:val="auto"/>
    <w:pitch w:val="default"/>
    <w:sig w:usb0="A00002BF" w:usb1="38CF7CFA" w:usb2="00082016" w:usb3="00000000" w:csb0="00040001" w:csb1="00000000"/>
  </w:font>
  <w:font w:name="方正黑体_GBK">
    <w:altName w:val="苹方-简"/>
    <w:panose1 w:val="02000000000000000000"/>
    <w:charset w:val="00"/>
    <w:family w:val="auto"/>
    <w:pitch w:val="default"/>
    <w:sig w:usb0="00000001" w:usb1="08000000" w:usb2="00000000" w:usb3="00000000" w:csb0="00040000" w:csb1="00000000"/>
  </w:font>
  <w:font w:name="Cambria">
    <w:altName w:val="苹方-简"/>
    <w:panose1 w:val="02040503050406030204"/>
    <w:charset w:val="00"/>
    <w:family w:val="roman"/>
    <w:pitch w:val="default"/>
    <w:sig w:usb0="00000000" w:usb1="00000000" w:usb2="00000000" w:usb3="00000000" w:csb0="0000019F"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苹方-简">
    <w:panose1 w:val="020B0400000000000000"/>
    <w:charset w:val="86"/>
    <w:family w:val="auto"/>
    <w:pitch w:val="default"/>
    <w:sig w:usb0="A00002FF" w:usb1="7ACFFDFB" w:usb2="00000017" w:usb3="00000000" w:csb0="00040001" w:csb1="00000000"/>
  </w:font>
  <w:font w:name="Helvetica Neue">
    <w:panose1 w:val="02000503000000020004"/>
    <w:charset w:val="00"/>
    <w:family w:val="auto"/>
    <w:pitch w:val="default"/>
    <w:sig w:usb0="E50002FF" w:usb1="500079DB" w:usb2="0000001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panose1 w:val="02010600030101010101"/>
    <w:charset w:val="86"/>
    <w:family w:val="auto"/>
    <w:pitch w:val="default"/>
    <w:sig w:usb0="00000001" w:usb1="080E0000" w:usb2="00000000" w:usb3="00000000" w:csb0="00040000" w:csb1="00000000"/>
    <w:embedRegular r:id="rId2" w:fontKey="{4953F466-B71F-E1F0-3A02-CA6000DCBECA}"/>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楷体">
    <w:panose1 w:val="02010609060101010101"/>
    <w:charset w:val="86"/>
    <w:family w:val="modern"/>
    <w:pitch w:val="default"/>
    <w:sig w:usb0="800002BF" w:usb1="38CF7CFA" w:usb2="00000016" w:usb3="00000000" w:csb0="00040001" w:csb1="00000000"/>
    <w:embedRegular r:id="rId3" w:fontKey="{BF06C517-6BB1-6D07-3A02-CA604C0B52B4}"/>
  </w:font>
  <w:font w:name="楷体_GB2312">
    <w:panose1 w:val="02010609030101010101"/>
    <w:charset w:val="86"/>
    <w:family w:val="modern"/>
    <w:pitch w:val="default"/>
    <w:sig w:usb0="00000001" w:usb1="080E0000" w:usb2="00000000" w:usb3="00000000" w:csb0="00040000" w:csb1="00000000"/>
    <w:embedRegular r:id="rId4" w:fontKey="{B5526EAA-3DC3-E343-3A02-CA608CC72535}"/>
  </w:font>
  <w:font w:name="仿宋_GB2312">
    <w:panose1 w:val="02010609030101010101"/>
    <w:charset w:val="86"/>
    <w:family w:val="modern"/>
    <w:pitch w:val="default"/>
    <w:sig w:usb0="00000001" w:usb1="080E0000" w:usb2="00000000" w:usb3="00000000" w:csb0="00040000" w:csb1="00000000"/>
    <w:embedRegular r:id="rId5" w:fontKey="{D5FEEE9D-4674-BBE0-3A02-CA60E56A10B6}"/>
  </w:font>
  <w:font w:name="ArialUnicodeMS">
    <w:panose1 w:val="020B0604020202020204"/>
    <w:charset w:val="81"/>
    <w:family w:val="auto"/>
    <w:pitch w:val="default"/>
    <w:sig w:usb0="FFFFFFFF" w:usb1="E9FFFFFF" w:usb2="0000003F" w:usb3="00000000" w:csb0="603F01FF" w:csb1="FFFF0000"/>
    <w:embedRegular r:id="rId6" w:fontKey="{14CED914-E975-416B-3A02-CA603A259645}"/>
  </w:font>
  <w:font w:name="方正楷体_GBK">
    <w:altName w:val="苹方-简"/>
    <w:panose1 w:val="00000000000000000000"/>
    <w:charset w:val="86"/>
    <w:family w:val="roman"/>
    <w:pitch w:val="default"/>
    <w:sig w:usb0="00000000" w:usb1="00000000" w:usb2="00000010" w:usb3="00000000" w:csb0="00040000" w:csb1="00000000"/>
  </w:font>
  <w:font w:name="MS-UIGothic,Bold">
    <w:altName w:val="Apple SD Gothic Neo"/>
    <w:panose1 w:val="00000000000000000000"/>
    <w:charset w:val="81"/>
    <w:family w:val="auto"/>
    <w:pitch w:val="default"/>
    <w:sig w:usb0="00000000" w:usb1="00000000" w:usb2="00000010" w:usb3="00000000" w:csb0="00080000" w:csb1="00000000"/>
  </w:font>
  <w:font w:name="仿宋">
    <w:panose1 w:val="02010609060101010101"/>
    <w:charset w:val="86"/>
    <w:family w:val="modern"/>
    <w:pitch w:val="default"/>
    <w:sig w:usb0="800002BF" w:usb1="38CF7CFA" w:usb2="00000016" w:usb3="00000000" w:csb0="00040001" w:csb1="00000000"/>
    <w:embedRegular r:id="rId7" w:fontKey="{647B9970-248C-FF23-3A02-CA6041514B26}"/>
  </w:font>
  <w:font w:name="DengXian-Regular">
    <w:altName w:val="苹方-简"/>
    <w:panose1 w:val="00000000000000000000"/>
    <w:charset w:val="86"/>
    <w:family w:val="auto"/>
    <w:pitch w:val="default"/>
    <w:sig w:usb0="00000000" w:usb1="00000000" w:usb2="00000010" w:usb3="00000000" w:csb0="00040001" w:csb1="00000000"/>
  </w:font>
  <w:font w:name="DengXian-Bold">
    <w:altName w:val="苹方-简"/>
    <w:panose1 w:val="00000000000000000000"/>
    <w:charset w:val="86"/>
    <w:family w:val="auto"/>
    <w:pitch w:val="default"/>
    <w:sig w:usb0="00000000" w:usb1="00000000" w:usb2="00000010" w:usb3="00000000" w:csb0="00040001" w:csb1="00000000"/>
  </w:font>
  <w:font w:name="TimesNewRomanPSMT">
    <w:panose1 w:val="02020503050405090304"/>
    <w:charset w:val="00"/>
    <w:family w:val="swiss"/>
    <w:pitch w:val="default"/>
    <w:sig w:usb0="E0000AFF" w:usb1="00007843" w:usb2="00000001" w:usb3="00000000" w:csb0="400001BF" w:csb1="DFF70000"/>
    <w:embedRegular r:id="rId8" w:fontKey="{BEC6860B-5275-0EF0-3A02-CA609D611356}"/>
  </w:font>
  <w:font w:name="Gulim">
    <w:altName w:val="Apple SD Gothic Neo"/>
    <w:panose1 w:val="020B0600000101010101"/>
    <w:charset w:val="81"/>
    <w:family w:val="auto"/>
    <w:pitch w:val="default"/>
    <w:sig w:usb0="00000000" w:usb1="00000000" w:usb2="00000030" w:usb3="00000000" w:csb0="4008009F" w:csb1="DFD70000"/>
  </w:font>
  <w:font w:name="Shruti">
    <w:altName w:val="苹方-简"/>
    <w:panose1 w:val="02000500000000000000"/>
    <w:charset w:val="00"/>
    <w:family w:val="auto"/>
    <w:pitch w:val="default"/>
    <w:sig w:usb0="00000000" w:usb1="00000000" w:usb2="00000000" w:usb3="00000000" w:csb0="00000000" w:csb1="00000000"/>
  </w:font>
  <w:font w:name="Lucida Sans">
    <w:altName w:val="苹方-简"/>
    <w:panose1 w:val="020B0602030504020204"/>
    <w:charset w:val="00"/>
    <w:family w:val="auto"/>
    <w:pitch w:val="default"/>
    <w:sig w:usb0="00000000" w:usb1="00000000" w:usb2="00000000" w:usb3="00000000" w:csb0="00000000" w:csb1="00000000"/>
  </w:font>
  <w:font w:name="Dotum">
    <w:altName w:val="Apple SD Gothic Neo"/>
    <w:panose1 w:val="020B0600000101010101"/>
    <w:charset w:val="81"/>
    <w:family w:val="auto"/>
    <w:pitch w:val="default"/>
    <w:sig w:usb0="00000000" w:usb1="00000000" w:usb2="00000030" w:usb3="00000000" w:csb0="4008009F" w:csb1="DFD70000"/>
  </w:font>
  <w:font w:name="Arial Unicode MS">
    <w:panose1 w:val="020B0604020202020204"/>
    <w:charset w:val="86"/>
    <w:family w:val="auto"/>
    <w:pitch w:val="default"/>
    <w:sig w:usb0="FFFFFFFF" w:usb1="E9FFFFFF" w:usb2="0000003F" w:usb3="00000000" w:csb0="603F01FF" w:csb1="FFFF0000"/>
  </w:font>
  <w:font w:name="Apple SD Gothic Neo">
    <w:panose1 w:val="02000300000000000000"/>
    <w:charset w:val="81"/>
    <w:family w:val="auto"/>
    <w:pitch w:val="default"/>
    <w:sig w:usb0="00000203" w:usb1="21D12C10" w:usb2="00000010" w:usb3="00000000" w:csb0="00280005" w:csb1="00000000"/>
  </w:font>
  <w:font w:name="Kingsoft Sign">
    <w:panose1 w:val="05050102010706020507"/>
    <w:charset w:val="00"/>
    <w:family w:val="auto"/>
    <w:pitch w:val="default"/>
    <w:sig w:usb0="00000000" w:usb1="10000000" w:usb2="00000000" w:usb3="00000000" w:csb0="00000001" w:csb1="00000000"/>
  </w:font>
  <w:font w:name="宋体-简">
    <w:panose1 w:val="02010800040101010101"/>
    <w:charset w:val="86"/>
    <w:family w:val="auto"/>
    <w:pitch w:val="default"/>
    <w:sig w:usb0="00000001" w:usb1="080F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61FDE"/>
    <w:rsid w:val="00275CA2"/>
    <w:rsid w:val="002A65A5"/>
    <w:rsid w:val="002C04C4"/>
    <w:rsid w:val="002D08B0"/>
    <w:rsid w:val="002D1AE3"/>
    <w:rsid w:val="002F2ECE"/>
    <w:rsid w:val="00341C8F"/>
    <w:rsid w:val="0035463A"/>
    <w:rsid w:val="00391D9D"/>
    <w:rsid w:val="00391E1D"/>
    <w:rsid w:val="003B6C51"/>
    <w:rsid w:val="003C1413"/>
    <w:rsid w:val="003C549F"/>
    <w:rsid w:val="003D3837"/>
    <w:rsid w:val="003D5A16"/>
    <w:rsid w:val="003E7DB3"/>
    <w:rsid w:val="003F7EC9"/>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85325"/>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1597C"/>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30D0C78"/>
    <w:rsid w:val="04073F84"/>
    <w:rsid w:val="09975BD9"/>
    <w:rsid w:val="0B60750A"/>
    <w:rsid w:val="0E757150"/>
    <w:rsid w:val="0F56618B"/>
    <w:rsid w:val="0FE84A54"/>
    <w:rsid w:val="10686488"/>
    <w:rsid w:val="10DF728A"/>
    <w:rsid w:val="12260FD7"/>
    <w:rsid w:val="12394474"/>
    <w:rsid w:val="1264200E"/>
    <w:rsid w:val="141C5B77"/>
    <w:rsid w:val="16803139"/>
    <w:rsid w:val="17B30DE2"/>
    <w:rsid w:val="18D8339D"/>
    <w:rsid w:val="1A21388F"/>
    <w:rsid w:val="1A570D2F"/>
    <w:rsid w:val="1AF5081B"/>
    <w:rsid w:val="1B7E72A9"/>
    <w:rsid w:val="1CC84FB8"/>
    <w:rsid w:val="1F1C48B7"/>
    <w:rsid w:val="27807226"/>
    <w:rsid w:val="27935271"/>
    <w:rsid w:val="28FB0B8D"/>
    <w:rsid w:val="2A397219"/>
    <w:rsid w:val="2A9870FC"/>
    <w:rsid w:val="2D2B7942"/>
    <w:rsid w:val="2D46481D"/>
    <w:rsid w:val="2E5723BA"/>
    <w:rsid w:val="2E733B28"/>
    <w:rsid w:val="2EB83AD3"/>
    <w:rsid w:val="2F235889"/>
    <w:rsid w:val="31852B5A"/>
    <w:rsid w:val="32D01238"/>
    <w:rsid w:val="33EA5EDA"/>
    <w:rsid w:val="38D0688C"/>
    <w:rsid w:val="3DA35312"/>
    <w:rsid w:val="3DFC59A8"/>
    <w:rsid w:val="3ECF245E"/>
    <w:rsid w:val="3FB65D77"/>
    <w:rsid w:val="3FB96314"/>
    <w:rsid w:val="3FD548D9"/>
    <w:rsid w:val="415F6AED"/>
    <w:rsid w:val="427C51D6"/>
    <w:rsid w:val="45E77CCC"/>
    <w:rsid w:val="4D2E5FE7"/>
    <w:rsid w:val="51A85BEC"/>
    <w:rsid w:val="53A44FAF"/>
    <w:rsid w:val="56BC6496"/>
    <w:rsid w:val="594329EC"/>
    <w:rsid w:val="597B0071"/>
    <w:rsid w:val="59D867E4"/>
    <w:rsid w:val="5A4A7623"/>
    <w:rsid w:val="5BEE1540"/>
    <w:rsid w:val="5CF81FC4"/>
    <w:rsid w:val="5D8312C0"/>
    <w:rsid w:val="5DB03ACE"/>
    <w:rsid w:val="5DE61A5D"/>
    <w:rsid w:val="636A3BB7"/>
    <w:rsid w:val="63C04243"/>
    <w:rsid w:val="63C9303E"/>
    <w:rsid w:val="649C01C7"/>
    <w:rsid w:val="663C00E0"/>
    <w:rsid w:val="68FB1E99"/>
    <w:rsid w:val="699A3F60"/>
    <w:rsid w:val="6BF500FE"/>
    <w:rsid w:val="72902E62"/>
    <w:rsid w:val="72A90BD6"/>
    <w:rsid w:val="734B0D0F"/>
    <w:rsid w:val="73BD2674"/>
    <w:rsid w:val="73C61104"/>
    <w:rsid w:val="76576ABB"/>
    <w:rsid w:val="76CD7ACE"/>
    <w:rsid w:val="776452EA"/>
    <w:rsid w:val="7BF6B0FA"/>
    <w:rsid w:val="7C0D34FD"/>
    <w:rsid w:val="7DC663B9"/>
    <w:rsid w:val="7DE64AAD"/>
    <w:rsid w:val="7FCA0618"/>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unhideWhenUsed/>
    <w:qFormat/>
    <w:uiPriority w:val="1"/>
  </w:style>
  <w:style w:type="table" w:default="1" w:styleId="13">
    <w:name w:val="Normal Table"/>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2"/>
    <w:link w:val="9"/>
    <w:qFormat/>
    <w:uiPriority w:val="99"/>
    <w:rPr>
      <w:sz w:val="18"/>
      <w:szCs w:val="18"/>
    </w:rPr>
  </w:style>
  <w:style w:type="character" w:customStyle="1" w:styleId="16">
    <w:name w:val="页脚 Char"/>
    <w:basedOn w:val="12"/>
    <w:link w:val="8"/>
    <w:qFormat/>
    <w:uiPriority w:val="99"/>
    <w:rPr>
      <w:sz w:val="18"/>
      <w:szCs w:val="18"/>
    </w:rPr>
  </w:style>
  <w:style w:type="paragraph" w:customStyle="1"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2"/>
    <w:link w:val="17"/>
    <w:qFormat/>
    <w:uiPriority w:val="1"/>
    <w:rPr>
      <w:kern w:val="0"/>
      <w:sz w:val="22"/>
    </w:rPr>
  </w:style>
  <w:style w:type="character" w:customStyle="1" w:styleId="19">
    <w:name w:val="批注框文本 Char"/>
    <w:basedOn w:val="12"/>
    <w:link w:val="7"/>
    <w:semiHidden/>
    <w:qFormat/>
    <w:uiPriority w:val="99"/>
    <w:rPr>
      <w:rFonts w:ascii="Times New Roman" w:hAnsi="Times New Roman" w:eastAsia="宋体" w:cs="Times New Roman"/>
      <w:sz w:val="18"/>
      <w:szCs w:val="18"/>
    </w:rPr>
  </w:style>
  <w:style w:type="character" w:customStyle="1" w:styleId="20">
    <w:name w:val="标题 Char"/>
    <w:basedOn w:val="12"/>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2"/>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2"/>
    <w:qFormat/>
    <w:uiPriority w:val="1"/>
    <w:rPr>
      <w:rFonts w:asciiTheme="minorHAnsi" w:hAnsiTheme="minorEastAsia" w:eastAsiaTheme="minorEastAsia" w:cstheme="minorBidi"/>
      <w:sz w:val="22"/>
      <w:szCs w:val="22"/>
      <w:lang w:eastAsia="zh-CN"/>
    </w:rPr>
  </w:style>
  <w:style w:type="character" w:customStyle="1" w:styleId="23">
    <w:name w:val="Style2"/>
    <w:basedOn w:val="12"/>
    <w:qFormat/>
    <w:uiPriority w:val="1"/>
    <w:rPr>
      <w:rFonts w:asciiTheme="minorHAnsi" w:hAnsiTheme="minorEastAsia" w:eastAsiaTheme="minorEastAsia" w:cstheme="minorBidi"/>
      <w:sz w:val="22"/>
      <w:szCs w:val="22"/>
      <w:lang w:eastAsia="zh-CN"/>
    </w:rPr>
  </w:style>
  <w:style w:type="character" w:customStyle="1" w:styleId="24">
    <w:name w:val="Style3"/>
    <w:basedOn w:val="12"/>
    <w:qFormat/>
    <w:uiPriority w:val="1"/>
    <w:rPr>
      <w:rFonts w:asciiTheme="minorHAnsi" w:hAnsiTheme="minorEastAsia" w:eastAsiaTheme="minorEastAsia" w:cstheme="minorBidi"/>
      <w:szCs w:val="22"/>
      <w:lang w:eastAsia="zh-CN"/>
    </w:rPr>
  </w:style>
  <w:style w:type="character" w:customStyle="1" w:styleId="25">
    <w:name w:val="Style4"/>
    <w:basedOn w:val="12"/>
    <w:qFormat/>
    <w:uiPriority w:val="1"/>
    <w:rPr>
      <w:rFonts w:asciiTheme="minorHAnsi" w:hAnsiTheme="minorEastAsia" w:eastAsiaTheme="minorEastAsia" w:cstheme="minorBidi"/>
      <w:szCs w:val="22"/>
      <w:lang w:eastAsia="zh-CN"/>
    </w:rPr>
  </w:style>
  <w:style w:type="character" w:customStyle="1" w:styleId="26">
    <w:name w:val="Style5"/>
    <w:basedOn w:val="12"/>
    <w:qFormat/>
    <w:uiPriority w:val="1"/>
    <w:rPr>
      <w:rFonts w:asciiTheme="minorHAnsi" w:hAnsiTheme="minorEastAsia" w:eastAsiaTheme="minorEastAsia" w:cstheme="minorBidi"/>
      <w:sz w:val="22"/>
      <w:szCs w:val="22"/>
      <w:lang w:eastAsia="zh-CN"/>
    </w:rPr>
  </w:style>
  <w:style w:type="character" w:customStyle="1" w:styleId="27">
    <w:name w:val="标题 1 Char"/>
    <w:basedOn w:val="12"/>
    <w:link w:val="2"/>
    <w:qFormat/>
    <w:uiPriority w:val="9"/>
    <w:rPr>
      <w:rFonts w:ascii="Times New Roman" w:hAnsi="Times New Roman" w:eastAsia="宋体" w:cs="Times New Roman"/>
      <w:b/>
      <w:bCs/>
      <w:kern w:val="44"/>
      <w:sz w:val="44"/>
      <w:szCs w:val="44"/>
    </w:rPr>
  </w:style>
  <w:style w:type="character" w:customStyle="1" w:styleId="28">
    <w:name w:val="标题 2 Char"/>
    <w:basedOn w:val="12"/>
    <w:link w:val="3"/>
    <w:qFormat/>
    <w:uiPriority w:val="9"/>
    <w:rPr>
      <w:rFonts w:asciiTheme="majorHAnsi" w:hAnsiTheme="majorHAnsi" w:eastAsiaTheme="majorEastAsia" w:cstheme="majorBidi"/>
      <w:b/>
      <w:bCs/>
      <w:sz w:val="32"/>
      <w:szCs w:val="32"/>
    </w:rPr>
  </w:style>
  <w:style w:type="character" w:customStyle="1" w:styleId="29">
    <w:name w:val="标题 3 Char"/>
    <w:basedOn w:val="12"/>
    <w:link w:val="4"/>
    <w:qFormat/>
    <w:uiPriority w:val="9"/>
    <w:rPr>
      <w:rFonts w:ascii="Times New Roman" w:hAnsi="Times New Roman" w:eastAsia="宋体" w:cs="Times New Roman"/>
      <w:b/>
      <w:bCs/>
      <w:sz w:val="32"/>
      <w:szCs w:val="32"/>
    </w:rPr>
  </w:style>
  <w:style w:type="character" w:customStyle="1" w:styleId="30">
    <w:name w:val="标题 4 Char"/>
    <w:basedOn w:val="12"/>
    <w:link w:val="5"/>
    <w:qFormat/>
    <w:uiPriority w:val="9"/>
    <w:rPr>
      <w:rFonts w:asciiTheme="majorHAnsi" w:hAnsiTheme="majorHAnsi" w:eastAsiaTheme="majorEastAsia" w:cstheme="majorBidi"/>
      <w:b/>
      <w:bCs/>
      <w:sz w:val="28"/>
      <w:szCs w:val="28"/>
    </w:rPr>
  </w:style>
  <w:style w:type="character" w:customStyle="1" w:styleId="31">
    <w:name w:val="日期 Char"/>
    <w:basedOn w:val="12"/>
    <w:link w:val="6"/>
    <w:semiHidden/>
    <w:qFormat/>
    <w:uiPriority w:val="99"/>
    <w:rPr>
      <w:rFonts w:ascii="Times New Roman" w:hAnsi="Times New Roman" w:eastAsia="宋体" w:cs="Times New Roman"/>
      <w:szCs w:val="24"/>
    </w:rPr>
  </w:style>
  <w:style w:type="paragraph" w:customStyle="1"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Documents%20and%20Settings\Administrator\&#26700;&#38754;\&#26032;&#24314;%20XLS%20&#24037;&#20316;&#3492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Documents%20and%20Settings\Administrator\&#26700;&#38754;\&#26032;&#24314;%20XLS%20&#24037;&#20316;&#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Documents%20and%20Settings\Administrator\&#26700;&#38754;\&#26032;&#24314;%20XLS%20&#24037;&#20316;&#3492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Documents%20and%20Settings\Administrator\&#26700;&#38754;\&#26032;&#24314;%20XLS%20&#24037;&#20316;&#3492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Documents%20and%20Settings\Administrator\&#26700;&#38754;\&#26032;&#24314;%20XLS%20&#24037;&#20316;&#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30.18,万元 100%</a:t>
                    </a:r>
                  </a:p>
                </c:rich>
              </c:tx>
              <c:dLblPos val="bestFit"/>
              <c:showLegendKey val="0"/>
              <c:showVal val="1"/>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工作表.xls]Sheet1'!$A$1:$B$1</c:f>
              <c:strCache>
                <c:ptCount val="2"/>
                <c:pt idx="1">
                  <c:v>财政拨款</c:v>
                </c:pt>
              </c:strCache>
            </c:strRef>
          </c:cat>
          <c:val>
            <c:numRef>
              <c:f>'[新建 XLS 工作表.xls]Sheet1'!$A$2:$B$2</c:f>
              <c:numCache>
                <c:formatCode>General</c:formatCode>
                <c:ptCount val="2"/>
                <c:pt idx="1">
                  <c:v>30.18</c:v>
                </c:pt>
              </c:numCache>
            </c:numRef>
          </c:val>
        </c:ser>
        <c:dLbls>
          <c:showLegendKey val="0"/>
          <c:showVal val="1"/>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27.58万元, 91</a:t>
                    </a:r>
                    <a:r>
                      <a:rPr lang="en-US" altLang="zh-CN"/>
                      <a:t>.39</a:t>
                    </a:r>
                    <a:r>
                      <a:t>%</a:t>
                    </a:r>
                  </a:p>
                </c:rich>
              </c:tx>
              <c:dLblPos val="bestFit"/>
              <c:showLegendKey val="0"/>
              <c:showVal val="1"/>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2.6万元, </a:t>
                    </a:r>
                    <a:r>
                      <a:rPr lang="en-US" altLang="zh-CN"/>
                      <a:t>8.61</a:t>
                    </a:r>
                    <a:r>
                      <a:t>%</a:t>
                    </a:r>
                  </a:p>
                </c:rich>
              </c:tx>
              <c:dLblPos val="bestFit"/>
              <c:showLegendKey val="0"/>
              <c:showVal val="1"/>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工作表.xls]Sheet1'!$C$1:$D$1</c:f>
              <c:strCache>
                <c:ptCount val="2"/>
                <c:pt idx="0">
                  <c:v>基本支出</c:v>
                </c:pt>
                <c:pt idx="1">
                  <c:v>项目支出</c:v>
                </c:pt>
              </c:strCache>
            </c:strRef>
          </c:cat>
          <c:val>
            <c:numRef>
              <c:f>'[新建 XLS 工作表.xls]Sheet1'!$C$2:$D$2</c:f>
              <c:numCache>
                <c:formatCode>General</c:formatCode>
                <c:ptCount val="2"/>
                <c:pt idx="0">
                  <c:v>27.58</c:v>
                </c:pt>
                <c:pt idx="1">
                  <c:v>2.6</c:v>
                </c:pt>
              </c:numCache>
            </c:numRef>
          </c:val>
        </c:ser>
        <c:dLbls>
          <c:showLegendKey val="0"/>
          <c:showVal val="1"/>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工作表.xls]Sheet1'!$C$41:$G$41</c:f>
              <c:strCache>
                <c:ptCount val="5"/>
                <c:pt idx="0">
                  <c:v>收入预算</c:v>
                </c:pt>
                <c:pt idx="1">
                  <c:v>收入决算</c:v>
                </c:pt>
                <c:pt idx="3">
                  <c:v>支出预算</c:v>
                </c:pt>
                <c:pt idx="4">
                  <c:v>支出决算</c:v>
                </c:pt>
              </c:strCache>
            </c:strRef>
          </c:cat>
          <c:val>
            <c:numRef>
              <c:f>'[新建 XLS 工作表.xls]Sheet1'!$C$42:$G$42</c:f>
              <c:numCache>
                <c:formatCode>General</c:formatCode>
                <c:ptCount val="5"/>
                <c:pt idx="0">
                  <c:v>26.5</c:v>
                </c:pt>
                <c:pt idx="1">
                  <c:v>27.4</c:v>
                </c:pt>
                <c:pt idx="3">
                  <c:v>26.5</c:v>
                </c:pt>
                <c:pt idx="4">
                  <c:v>30.18</c:v>
                </c:pt>
              </c:numCache>
            </c:numRef>
          </c:val>
        </c:ser>
        <c:dLbls>
          <c:showLegendKey val="0"/>
          <c:showVal val="1"/>
          <c:showCatName val="0"/>
          <c:showSerName val="0"/>
          <c:showPercent val="0"/>
          <c:showBubbleSize val="0"/>
        </c:dLbls>
        <c:gapWidth val="107"/>
        <c:overlap val="-53"/>
        <c:axId val="47622400"/>
        <c:axId val="47624192"/>
      </c:barChart>
      <c:catAx>
        <c:axId val="4762240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624192"/>
        <c:crosses val="autoZero"/>
        <c:auto val="1"/>
        <c:lblAlgn val="ctr"/>
        <c:lblOffset val="100"/>
        <c:noMultiLvlLbl val="0"/>
      </c:catAx>
      <c:valAx>
        <c:axId val="47624192"/>
        <c:scaling>
          <c:orientation val="minMax"/>
          <c:max val="5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622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工作表.xls]Sheet1'!$C$41:$G$41</c:f>
              <c:strCache>
                <c:ptCount val="5"/>
                <c:pt idx="0">
                  <c:v>收入预算</c:v>
                </c:pt>
                <c:pt idx="1">
                  <c:v>收入决算</c:v>
                </c:pt>
                <c:pt idx="3">
                  <c:v>支出预算</c:v>
                </c:pt>
                <c:pt idx="4">
                  <c:v>支出决算</c:v>
                </c:pt>
              </c:strCache>
            </c:strRef>
          </c:cat>
          <c:val>
            <c:numRef>
              <c:f>'[新建 XLS 工作表.xls]Sheet1'!$C$42:$G$42</c:f>
              <c:numCache>
                <c:formatCode>General</c:formatCode>
                <c:ptCount val="5"/>
                <c:pt idx="0">
                  <c:v>26.5</c:v>
                </c:pt>
                <c:pt idx="1">
                  <c:v>27.4</c:v>
                </c:pt>
                <c:pt idx="3">
                  <c:v>26.5</c:v>
                </c:pt>
                <c:pt idx="4">
                  <c:v>30.18</c:v>
                </c:pt>
              </c:numCache>
            </c:numRef>
          </c:val>
        </c:ser>
        <c:dLbls>
          <c:showLegendKey val="0"/>
          <c:showVal val="1"/>
          <c:showCatName val="0"/>
          <c:showSerName val="0"/>
          <c:showPercent val="0"/>
          <c:showBubbleSize val="0"/>
        </c:dLbls>
        <c:gapWidth val="107"/>
        <c:overlap val="-53"/>
        <c:axId val="101993088"/>
        <c:axId val="102003072"/>
      </c:barChart>
      <c:catAx>
        <c:axId val="10199308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2003072"/>
        <c:crosses val="autoZero"/>
        <c:auto val="1"/>
        <c:lblAlgn val="ctr"/>
        <c:lblOffset val="100"/>
        <c:noMultiLvlLbl val="0"/>
      </c:catAx>
      <c:valAx>
        <c:axId val="102003072"/>
        <c:scaling>
          <c:orientation val="minMax"/>
          <c:max val="5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19930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30.18,万元 100%</a:t>
                    </a:r>
                  </a:p>
                </c:rich>
              </c:tx>
              <c:dLblPos val="bestFit"/>
              <c:showLegendKey val="0"/>
              <c:showVal val="1"/>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工作表.xls]Sheet1'!$A$1:$B$1</c:f>
              <c:strCache>
                <c:ptCount val="2"/>
                <c:pt idx="1">
                  <c:v>财政拨款支出</c:v>
                </c:pt>
              </c:strCache>
            </c:strRef>
          </c:cat>
          <c:val>
            <c:numRef>
              <c:f>'[新建 XLS 工作表.xls]Sheet1'!$A$2:$B$2</c:f>
              <c:numCache>
                <c:formatCode>General</c:formatCode>
                <c:ptCount val="2"/>
                <c:pt idx="1">
                  <c:v>30.18</c:v>
                </c:pt>
              </c:numCache>
            </c:numRef>
          </c:val>
        </c:ser>
        <c:dLbls>
          <c:showLegendKey val="0"/>
          <c:showVal val="1"/>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Info spid="_x0000_s1070"/>
    <customShpInfo spid="_x0000_s1069"/>
    <customShpInfo spid="_x0000_s1068"/>
    <customShpInfo spid="_x0000_s1067"/>
    <customShpInfo spid="_x0000_s1066"/>
    <customShpInfo spid="_x0000_s1065"/>
    <customShpInfo spid="_x0000_s1064"/>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21</Pages>
  <Words>4460</Words>
  <Characters>502</Characters>
  <Lines>4</Lines>
  <Paragraphs>9</Paragraphs>
  <ScaleCrop>false</ScaleCrop>
  <LinksUpToDate>false</LinksUpToDate>
  <CharactersWithSpaces>4953</CharactersWithSpaces>
  <Application>WPS Office_3.6.2.5883_F1E327BC-269C-435d-A152-05C5408002CA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2019-08-29T00:40:00Z</dcterms:created>
  <dc:creator>User</dc:creator>
  <cp:lastModifiedBy>fy</cp:lastModifiedBy>
  <cp:lastPrinted>2019-08-02T17:01:00Z</cp:lastPrinted>
  <dcterms:modified xsi:type="dcterms:W3CDTF">2021-06-16T21:52:57Z</dcterms:modified>
  <dc:subject>石家庄市xxx部门</dc:subject>
  <dc:title>2017年度部门决算</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2052-3.6.2.5883</vt:lpwstr>
  </property>
</Properties>
</file>