
<file path=[Content_Types].xml><?xml version="1.0" encoding="utf-8"?>
<Types xmlns="http://schemas.openxmlformats.org/package/2006/content-types">
  <Default Extension="xml" ContentType="application/xml"/>
  <Default Extension="emf" ContentType="image/x-emf"/>
  <Default Extension="bmp" ContentType="image/bmp"/>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theme/themeOverride1.xml" ContentType="application/vnd.openxmlformats-officedocument.themeOverride+xml"/>
  <Override PartName="/word/theme/themeOverride2.xml" ContentType="application/vnd.openxmlformats-officedocument.themeOverrid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type w:val="continuous"/>
          <w:pgSz w:w="11906" w:h="16838"/>
          <w:pgMar w:top="0" w:right="0" w:bottom="0" w:left="0" w:header="851" w:footer="992" w:gutter="0"/>
          <w:cols w:space="425" w:num="1"/>
          <w:titlePg/>
          <w:docGrid w:type="lines" w:linePitch="312" w:charSpace="0"/>
        </w:sectPr>
      </w:pPr>
      <w:r>
        <w:pict>
          <v:shape id="文本框 10" o:spid="_x0000_s1054" o:spt="202" type="#_x0000_t202" style="position:absolute;left:0pt;margin-left:106.25pt;margin-top:693.55pt;height:79.95pt;width:404.15pt;z-index:251692032;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v:path/>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二〇二〇年九月</w:t>
                  </w:r>
                </w:p>
              </w:txbxContent>
            </v:textbox>
          </v:shape>
        </w:pict>
      </w:r>
      <w:r>
        <w:pict>
          <v:shape id="椭圆 8" o:spid="_x0000_s1053" o:spt="3" type="#_x0000_t3" style="position:absolute;left:0pt;margin-left:53.5pt;margin-top:232.45pt;height:121.95pt;width:121.95pt;z-index:251688960;v-text-anchor:middle;mso-width-relative:page;mso-height-relative:page;" fillcolor="#FFFFFF"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v:path/>
            <v:fill on="t" focussize="0,0"/>
            <v:stroke on="f" weight="1pt" miterlimit="8" joinstyle="miter"/>
            <v:imagedata o:title=""/>
            <o:lock v:ext="edit" aspectratio="f"/>
            <v:textbox>
              <w:txbxContent>
                <w:p>
                  <w:pPr>
                    <w:jc w:val="center"/>
                  </w:pPr>
                </w:p>
              </w:txbxContent>
            </v:textbox>
          </v:shape>
        </w:pict>
      </w:r>
      <w:r>
        <w:pict>
          <v:rect id="矩形 14" o:spid="_x0000_s1062" o:spt="1" style="position:absolute;left:0pt;margin-left:33.6pt;margin-top:256.75pt;height:69.6pt;width:160.65pt;z-index:251694080;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v:path/>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rPr>
                    <w:t>2019</w:t>
                  </w:r>
                </w:p>
              </w:txbxContent>
            </v:textbox>
          </v:rect>
        </w:pict>
      </w:r>
      <w:r>
        <w:pict>
          <v:shape id="椭圆 9" o:spid="_x0000_s1058" o:spt="3" type="#_x0000_t3" style="position:absolute;left:0pt;margin-left:62.2pt;margin-top:242.75pt;height:103.45pt;width:103.45pt;z-index:251693056;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v:path/>
            <v:fill on="t" focussize="0,0"/>
            <v:stroke on="f" weight="1pt" miterlimit="8" joinstyle="miter"/>
            <v:imagedata o:title=""/>
            <o:lock v:ext="edit" aspectratio="f"/>
            <v:textbox>
              <w:txbxContent>
                <w:p>
                  <w:pPr>
                    <w:jc w:val="center"/>
                  </w:pPr>
                </w:p>
              </w:txbxContent>
            </v:textbox>
          </v:shape>
        </w:pict>
      </w:r>
      <w:r>
        <w:pict>
          <v:group id="组合 13" o:spid="_x0000_s1057" o:spt="203" style="position:absolute;left:0pt;margin-left:1.25pt;margin-top:821.7pt;height:21.45pt;width:595.25pt;z-index:251689984;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o:lock v:ext="edit" aspectratio="f"/>
            <v:rect id="矩形 6" o:spid="_x0000_s1055"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path/>
              <v:fill on="t" focussize="0,0"/>
              <v:stroke on="f" weight="1pt" miterlimit="8" joinstyle="miter"/>
              <v:imagedata o:title=""/>
              <o:lock v:ext="edit" aspectratio="f"/>
            </v:rect>
            <v:rect id="矩形 7" o:spid="_x0000_s105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path/>
              <v:fill on="t" focussize="0,0"/>
              <v:stroke on="f" weight="1pt" miterlimit="8" joinstyle="miter"/>
              <v:imagedata o:title=""/>
              <o:lock v:ext="edit" aspectratio="f"/>
            </v:rect>
          </v:group>
        </w:pict>
      </w:r>
      <w:r>
        <w:pict>
          <v:group id="组合 4" o:spid="_x0000_s1061" o:spt="203" style="position:absolute;left:0pt;margin-left:-2.5pt;margin-top:0pt;height:308.5pt;width:600.25pt;z-index:-251621376;mso-width-relative:page;mso-height-relative:page;" coordorigin="13622,283" coordsize="12005,6170"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REfdfZ&#10;AAAACAEAAA8AAAAAAAAAAQAgAAAAIgAAAGRycy9kb3ducmV2LnhtbFBLAQIUABQAAAAIAIdO4kDQ&#10;ds0XygIAAH0GAAAOAAAAAAAAAAEAIAAAACgBAABkcnMvZTJvRG9jLnhtbFBLBQYAAAAABgAGAFkB&#10;AABkBgAAAAA=&#10;">
            <o:lock v:ext="edit" aspectratio="f"/>
            <v:rect id="矩形 5" o:spid="_x0000_s1059"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path/>
              <v:fill on="t" color2="#FFFFFF" focussize="0,0"/>
              <v:stroke on="f" weight="1pt" miterlimit="8"/>
              <v:imagedata o:title=""/>
              <o:lock v:ext="edit" aspectratio="f"/>
            </v:rect>
            <v:shape id="_x0000_s1060" o:spid="_x0000_s1060" o:spt="202" type="#_x0000_t202" style="position:absolute;left:17229;top:5021;height:1392;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path/>
              <v:fill on="f" focussize="0,0"/>
              <v:stroke on="f"/>
              <v:imagedata o:title=""/>
              <o:lock v:ext="edit" aspectratio="f"/>
              <v:textbox style="mso-fit-shape-to-text:t;">
                <w:txbxContent>
                  <w:p>
                    <w:pPr>
                      <w:jc w:val="left"/>
                      <w:rPr>
                        <w:color w:val="000000" w:themeColor="text1"/>
                        <w:kern w:val="0"/>
                        <w:sz w:val="92"/>
                        <w:szCs w:val="92"/>
                      </w:rPr>
                    </w:pPr>
                    <w:r>
                      <w:rPr>
                        <w:rFonts w:hint="eastAsia" w:ascii="思源黑体 HW Bold" w:hAnsi="思源黑体 HW Bold" w:eastAsia="思源黑体 HW Bold"/>
                        <w:color w:val="000000" w:themeColor="text1"/>
                        <w:kern w:val="24"/>
                        <w:sz w:val="92"/>
                        <w:szCs w:val="92"/>
                      </w:rPr>
                      <w:t>部门决算公开文本</w:t>
                    </w:r>
                  </w:p>
                </w:txbxContent>
              </v:textbox>
            </v:shape>
          </v:group>
        </w:pict>
      </w:r>
      <w:r>
        <w:pict>
          <v:rect id="矩形 11" o:spid="_x0000_s1063" o:spt="1" style="position:absolute;left:0pt;margin-left:184.75pt;margin-top:286.6pt;height:31.25pt;width:339.65pt;mso-wrap-style:none;z-index:251691008;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v:path/>
            <v:fill on="f" focussize="0,0"/>
            <v:stroke on="f"/>
            <v:imagedata o:title=""/>
            <o:lock v:ext="edit" aspectratio="f"/>
            <v:textbox style="mso-fit-shape-to-text:t;">
              <w:txbxContent>
                <w:p/>
              </w:txbxContent>
            </v:textbox>
          </v:rect>
        </w:pic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4"/>
          <w:szCs w:val="44"/>
          <w:highlight w:val="yellow"/>
        </w:rPr>
      </w:pPr>
      <w:r>
        <w:rPr>
          <w:rFonts w:hint="eastAsia" w:ascii="楷体_GB2312" w:hAnsi="楷体_GB2312" w:eastAsia="楷体_GB2312" w:cs="楷体_GB2312"/>
          <w:color w:val="000000" w:themeColor="text1"/>
          <w:kern w:val="0"/>
          <w:sz w:val="44"/>
          <w:szCs w:val="44"/>
        </w:rPr>
        <w:t>高邑县水利局</w:t>
      </w:r>
    </w:p>
    <w:p>
      <w:pPr>
        <w:snapToGrid w:val="0"/>
        <w:jc w:val="center"/>
        <w:rPr>
          <w:rFonts w:ascii="楷体_GB2312" w:hAnsi="楷体_GB2312" w:eastAsia="楷体_GB2312" w:cs="楷体_GB2312"/>
          <w:color w:val="000000" w:themeColor="text1"/>
          <w:kern w:val="0"/>
          <w:sz w:val="44"/>
          <w:szCs w:val="44"/>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rPr>
        <w:t>二〇二〇年九月</w:t>
      </w:r>
    </w:p>
    <w:p>
      <w:pPr>
        <w:widowControl/>
        <w:spacing w:line="600" w:lineRule="exact"/>
        <w:jc w:val="left"/>
        <w:rPr>
          <w:rFonts w:ascii="黑体" w:hAnsi="黑体" w:eastAsia="黑体" w:cs="黑体"/>
          <w:bCs/>
          <w:sz w:val="32"/>
          <w:szCs w:val="32"/>
          <w:highlight w:val="yellow"/>
        </w:rPr>
      </w:pP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w:pict>
          <v:shape id="_x0000_s1031" o:spid="_x0000_s1031" o:spt="202" type="#_x0000_t202" style="position:absolute;left:0pt;margin-left:-85.7pt;margin-top:80.7pt;height:263.1pt;width:613.65pt;z-index:251662336;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EdhMyncAAAADQEAAA8AAAAAAAAAAQAgAAAAIgAAAGRycy9kb3du&#10;cmV2LnhtbFBLAQIUABQAAAAIAIdO4kBsigz3bQIAAN8EAAAOAAAAAAAAAAEAIAAAACsBAABkcnMv&#10;ZTJvRG9jLnhtbFBLBQYAAAAABgAGAFkBAAAKBgAAAAA=&#10;">
            <v:path/>
            <v:fill type="pattern" on="t" color2="#FFFFFF" focussize="0,0"/>
            <v:stroke weight="1pt" color="#FFD966" joinstyle="round"/>
            <v:imagedata o:title=""/>
            <o:lock v:ext="edit"/>
            <v:textbo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第一部分  部门概况</w:t>
                  </w:r>
                </w:p>
              </w:txbxContent>
            </v:textbox>
          </v:shape>
        </w:pic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spacing w:line="600" w:lineRule="exact"/>
        <w:ind w:firstLine="640" w:firstLineChars="200"/>
        <w:rPr>
          <w:rFonts w:ascii="仿宋" w:hAnsi="仿宋" w:eastAsia="仿宋" w:cs="仿宋"/>
          <w:sz w:val="32"/>
          <w:szCs w:val="32"/>
        </w:rPr>
      </w:pPr>
      <w:r>
        <w:rPr>
          <w:rFonts w:hint="eastAsia" w:ascii="黑体" w:hAnsi="黑体" w:eastAsia="黑体" w:cs="黑体"/>
          <w:sz w:val="32"/>
          <w:szCs w:val="32"/>
        </w:rPr>
        <w:t xml:space="preserve">第一条  </w:t>
      </w:r>
      <w:r>
        <w:rPr>
          <w:rFonts w:hint="eastAsia" w:ascii="仿宋" w:hAnsi="仿宋" w:eastAsia="仿宋"/>
          <w:sz w:val="32"/>
          <w:szCs w:val="32"/>
        </w:rPr>
        <w:t>根据《中共石家庄市委办公厅、石家庄市人民政府办公厅关于印发&lt;高邑县机构改革方案&gt;的通知》（石办字〔2018〕78 号），制定本规定。</w:t>
      </w:r>
    </w:p>
    <w:p>
      <w:pPr>
        <w:spacing w:line="600" w:lineRule="exact"/>
        <w:ind w:firstLine="640" w:firstLineChars="200"/>
        <w:rPr>
          <w:rFonts w:ascii="仿宋" w:hAnsi="仿宋" w:eastAsia="仿宋" w:cs="仿宋"/>
          <w:sz w:val="32"/>
          <w:szCs w:val="32"/>
        </w:rPr>
      </w:pPr>
      <w:r>
        <w:rPr>
          <w:rFonts w:hint="eastAsia" w:ascii="黑体" w:hAnsi="黑体" w:eastAsia="黑体" w:cs="黑体"/>
          <w:sz w:val="32"/>
          <w:szCs w:val="32"/>
        </w:rPr>
        <w:t xml:space="preserve">第二条  </w:t>
      </w:r>
      <w:r>
        <w:rPr>
          <w:rFonts w:hint="eastAsia" w:ascii="仿宋" w:hAnsi="仿宋" w:eastAsia="仿宋" w:cs="仿宋"/>
          <w:sz w:val="32"/>
          <w:szCs w:val="32"/>
        </w:rPr>
        <w:t>高邑县水利局(简称县水利局)为县政府工作部门，机构规格正科级。</w:t>
      </w:r>
    </w:p>
    <w:p>
      <w:pPr>
        <w:spacing w:line="600" w:lineRule="exact"/>
        <w:ind w:firstLine="640" w:firstLineChars="200"/>
        <w:rPr>
          <w:rFonts w:ascii="仿宋" w:hAnsi="仿宋" w:eastAsia="仿宋" w:cs="仿宋"/>
          <w:sz w:val="32"/>
          <w:szCs w:val="32"/>
        </w:rPr>
      </w:pPr>
      <w:r>
        <w:rPr>
          <w:rFonts w:hint="eastAsia" w:ascii="黑体" w:hAnsi="黑体" w:eastAsia="黑体" w:cs="黑体"/>
          <w:sz w:val="32"/>
          <w:szCs w:val="32"/>
        </w:rPr>
        <w:t xml:space="preserve">第三条  </w:t>
      </w:r>
      <w:r>
        <w:rPr>
          <w:rFonts w:hint="eastAsia" w:ascii="仿宋" w:hAnsi="仿宋" w:eastAsia="仿宋" w:cs="仿宋"/>
          <w:sz w:val="32"/>
          <w:szCs w:val="32"/>
        </w:rPr>
        <w:t>贯彻落实党中央和省、市、县委关于水利工作的方针政策和决策部署，坚持和加强党对水利工作的集中统一领导。主要职责是：</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（一）负责保障水资源合理开发利用，贯彻落实上级水利政策，拟定水利战略规划，组织编制全县水资源战略规划、重要河流湖泊流域综合规划、防洪规划等重大水利规划。</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二）负责生活、生产经营和生态环境用水的统筹和保障。组织实施最严格水资源管理制度，实施水资源的统一监督管理，拟订全县水中长期供求规划、水量分配方案并监督实施。负责重要流域、区域以及重大调水工程的水资源调度。开展水资源有偿使用工作。指导水利行业供水和城乡供水工作。</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三）按规定制定水利工程建设有关制度并组织实施，负责提出县级水利固定资产投资规模、方向、具体安排建议并组织指导实施，按规定权限审核县规划内和年度计划规模内固定资产投资项目，提出县级水利资金安排建议并负责项目实施的监督管理。</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四）负责水资源保护工作。组织编制并实施水资源保护规划。按规定开展饮用水水源保护有关工作，负责地下水开发利用和地下水资源管理保护。负责地下水超采区综合治理。负责组织对河流湖库和地下水实施监测，发布水资源信息和水资源公报，按规定组织开展水资源、水能资源调查评价和水资源承载能力监测预警工作。</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（五）负责节约用水工作。贯彻落实节约用水政策，组织编制节约用水规划并监督实施。组织实施用水总量控制等管理制度，指导和推动节水型社会建设工作。</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六）指导水利设施、水域及其岸线的管理、保护与综合利用。负责水利基础设施网络建设。负责主要河流湖泊及河口的治理、开发和保护。负责河湖水生态保护与修复、河湖生态流量水量管理以及河湖水系连通工作。</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七）负责监督水利工程建设与运行管理。组织实施具有控制性的重要水利工程建设与运行管理。落实南水北调配套工程运行和后续工程建设的有关政策措施，指导监督工程安全运行，按规定负责工程验收有关工作。</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（八）负责水土保持工作。拟订水土保持规划并监督实施，组织实施水土流失的综合防治、监测预报。负责建设项目水土保持监督管理工作，指导重点水土保持建设项目的实施。</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九）指导农村水利工作。组织开展大中型灌排工程建设与改造。指导农村饮水安全工程建设管理工作，指导节水灌溉有关工作。指导农村水利改革创新和社会化服务体系建设。指导农村水能资源开发、小水电改造和水电农村电气化工作。</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（十）负责水库、水电工程移民管理工作。负责贯彻落实水库、水电工程移民有关政策并监督实施，按规定组织实施移民安置验收、监督评估等工作。指导监督水库移民后期扶持政策的实施。</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（十一）负责重大涉水违法事件的查处，指导水政监察和水行政执法。依法负责水利行业安全生产工作，负责水库的安全监管。负责水利建设市场的监督管理，组织实施水利工程建设的监督。</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（十二）组织开展水利行业质量监督工作。监督实施水利行业的技术标准、规程规范。组织指导水利科学研究、技术引进和科技推广，开展水利交流与合作。</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十三）负责落实综合防灾减灾规划相关要求，组织编制洪水干旱灾害防治规划。承担水情旱情监测预警工作。组织编制重要河道和重要水工程的防御洪水抗御旱灾调度及应急水量调度方案，按程序报批并组织实施。承担防御洪水应急抢险的技术支撑工作。</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（十四）完成县委、县政府交办的其他任务。</w:t>
      </w:r>
    </w:p>
    <w:p>
      <w:pPr>
        <w:spacing w:line="600" w:lineRule="exact"/>
        <w:ind w:firstLine="640" w:firstLineChars="200"/>
        <w:rPr>
          <w:rFonts w:ascii="仿宋" w:hAnsi="仿宋" w:eastAsia="仿宋" w:cs="仿宋"/>
          <w:sz w:val="32"/>
          <w:szCs w:val="32"/>
        </w:rPr>
      </w:pPr>
      <w:r>
        <w:rPr>
          <w:rFonts w:hint="eastAsia" w:ascii="黑体" w:hAnsi="黑体" w:eastAsia="黑体" w:cs="黑体"/>
          <w:sz w:val="32"/>
          <w:szCs w:val="32"/>
        </w:rPr>
        <w:t xml:space="preserve">第四条  </w:t>
      </w:r>
      <w:r>
        <w:rPr>
          <w:rFonts w:hint="eastAsia" w:ascii="仿宋" w:hAnsi="仿宋" w:eastAsia="仿宋" w:cs="仿宋"/>
          <w:sz w:val="32"/>
          <w:szCs w:val="32"/>
        </w:rPr>
        <w:t>转变职能。县水利局切实加强水资源合理利用、优化配置和节约保护。坚持节水优先，从增加供给转向更加重视需求管理，严格控制用水总量和提高用水效率。坚持保护优先，加强水资源、水域和水利工程的管理保护，维护河湖健康美丽。坚持统筹兼顾，保障合理用水需求和水资源的可持续利用，为经济社会发展提供水安全保障。</w:t>
      </w:r>
    </w:p>
    <w:p>
      <w:pPr>
        <w:spacing w:line="600" w:lineRule="exact"/>
        <w:ind w:firstLine="640" w:firstLineChars="200"/>
        <w:rPr>
          <w:rFonts w:ascii="仿宋" w:hAnsi="仿宋" w:eastAsia="黑体" w:cs="仿宋"/>
          <w:sz w:val="32"/>
          <w:szCs w:val="32"/>
        </w:rPr>
      </w:pPr>
      <w:r>
        <w:rPr>
          <w:rFonts w:hint="eastAsia" w:ascii="黑体" w:hAnsi="黑体" w:eastAsia="黑体" w:cs="黑体"/>
          <w:sz w:val="32"/>
          <w:szCs w:val="32"/>
        </w:rPr>
        <w:t xml:space="preserve">第四条  </w:t>
      </w:r>
      <w:r>
        <w:rPr>
          <w:rFonts w:hint="eastAsia" w:ascii="仿宋" w:hAnsi="仿宋" w:eastAsia="仿宋" w:cs="仿宋"/>
          <w:sz w:val="32"/>
          <w:szCs w:val="32"/>
        </w:rPr>
        <w:t>县水利局设下列内设机构：</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一）办公室。负责机关日常工作的协调和督查，负责机关文电、会务、机要、保密、档案、宣传、政务公开、后勤保障等工作；负责起草机关重要文件、综合文稿和领导讲话；承办人大代表建议、政协委员提案答复工作；负责机关和所属单位老干部服务工作。负责机关和所属单位的党建、宣传、思想政治、精神文明建设及群团等工作；承担机关和所属单位党风廉政建设具体工作。</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负责机关和所属单位的机构编制、干部人事管理和教育培训工作。组织水利行业专业技术职务评聘，工勤人员技术等级培训考试、考核工作。</w:t>
      </w:r>
    </w:p>
    <w:p>
      <w:pPr>
        <w:spacing w:line="600" w:lineRule="exact"/>
        <w:ind w:firstLine="640" w:firstLineChars="200"/>
        <w:rPr>
          <w:rFonts w:ascii="仿宋" w:hAnsi="仿宋" w:eastAsia="仿宋" w:cs="仿宋"/>
          <w:b/>
          <w:bCs/>
          <w:sz w:val="32"/>
          <w:szCs w:val="32"/>
        </w:rPr>
      </w:pPr>
      <w:r>
        <w:rPr>
          <w:rFonts w:hint="eastAsia" w:ascii="仿宋" w:hAnsi="仿宋" w:eastAsia="仿宋" w:cs="仿宋"/>
          <w:sz w:val="32"/>
          <w:szCs w:val="32"/>
        </w:rPr>
        <w:t>负责机关财务、国有资产管理及内部审计工作，监督指导所属单位财务管理、国有资产工作。组织提出县级水利财政资金安排建议，并统筹协调项目实施的监督管理和绩效评价。提出有关水利价格、税费、基金、信贷的建议。承担水库、水电工程移民管理和后期扶持工作，组织实施水利工程移民安置验收、监督评估等工作，组织开展新增水库移民后期扶持人口核定。</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贯彻落实水利政策。承担机关规范性文件的合法性审核工作，承担行政复议、行政应诉的有关工作，指导监督水政监察和水行政执法，组织查处重大涉水违法事件。承担实施最严格水资源管理制度相关工作，组织实施水资源论证、有偿使用工作，负责规划水资源论证报告书审查。指导水量分配工作并监督实施。指导河湖生态流量工作。组织编制水资源保护规划，按规定开展饮用水水源保护有关工作。组织指导地下水超采区综合治理。配合有关部门制订水功能区划，开展水资源调查评价和监测有关工作。组织发布水资源公报。组织水资源承载能力监测预警工作。贯彻落实节约用水政策，组织编制并协调实施节约用水规划，组织开展计划用水、节约用水工作。组织实施用水总量控制、用水效率控制、计划用水和定额管理制度。指导和推动节水型社会建设工作。</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组织编制全县洪水干旱防治规划，主要行洪河道和大中型水库的防御洪水抗御旱灾调度以及应急水量调度方案并组织实施。承担水情早情预警工作。负责主要行洪河道和防洪保护区的洪水影响评价监督实施工作，指导水利设施的管理、保护、安全鉴定和综合利用，组织编制水库运行调度规程和大坝安全管理应急预案。指导水库、水电站大坝、堤防、水闸等水利工程的运行管理与划界。</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二）综合科。组织编制大中型灌排工程发展规划，组织开展大中型灌排工程建设与改造，组织指导农村饮水安全工程建设管理工作，指导节水灌溉有关工作,负责地下水超采区综合治理，负责推行农业水价综合改革工作。组织开展水能资源调查，组织拟订农村水能资源开发规划，指导水电农村电气化、农村水电增效扩容改造以及小水电代燃料等农村水能资源开发工作。指导农村水利社会化服务体系建设。</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承担水土流失综合防治工作，组织编制水土保持规划并监督实施，组织水土流失调查与监测、预报并公告，监督检查开发建设项目水土保持方案实施工作。指导生态清洁小流域建设。</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负责水域及其岸线的管理与保护，负责主要河道的开发、治理和保护;负责河湖水生态保护与修复以及河湖水系连通工作。监督管理河道采砂工作，指导河道采砂规划和计划的编制。</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承担跨区域流域水资源供需形势分析，指导水量调度工作并监督实施，统一组织并监督实施水库、河流水量调度和生态补水等工作。负责制定实施引江、当地地表水年度利用计划。</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协调落实南水北调配套工程有关政策和措施。按规定做好南水北调配套工程竣工财务决算、审计和工程验收有关工作。监督实施南水北调配套工程年度供水计划。指导监督南水北调配套工程运行管理工作。</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拟订全县水利发展规划，组织编制重大水利综合规划、专业规划和专项规划。组织实施中央、省、市、县级水利建设投资计划。负责审核重点水利建设项目建议书、可行性研究报告，按规定权限审核初步设计报告。督促检查水利重大政策、决策部署和重点工作的贯彻落实情况，指导水利改革创新工作，负责全县水利统计工作。监督实施水利行业的技术标准、规程规范。组织指导水利科学研究、技术引进和科技推广，开展水利交流与合作。</w:t>
      </w:r>
    </w:p>
    <w:p>
      <w:pPr>
        <w:spacing w:line="600" w:lineRule="exact"/>
        <w:ind w:firstLine="640" w:firstLineChars="200"/>
        <w:rPr>
          <w:rFonts w:ascii="黑体" w:hAnsi="黑体" w:eastAsia="黑体"/>
          <w:sz w:val="32"/>
          <w:szCs w:val="32"/>
        </w:rPr>
      </w:pPr>
      <w:r>
        <w:rPr>
          <w:rFonts w:hint="eastAsia" w:ascii="仿宋" w:hAnsi="仿宋" w:eastAsia="仿宋" w:cs="仿宋"/>
          <w:sz w:val="32"/>
          <w:szCs w:val="32"/>
        </w:rPr>
        <w:t>负责水利工程建设管理，制定有关制度并组织实施。组织实施具有控制性的重要水利工程建设。组织指导水利工程蓄水安全鉴定和验收，指导主要行洪河道堤防、病险水库、水闸的除险加固。</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（三）质量安全生产管理科。负责水利建设市场的监督管理。组织实施水利工程质量和安全监督。依法负责水利行业安全生产工作，负责水库、水电站大坝及农村水电站的安全监管。</w:t>
      </w:r>
    </w:p>
    <w:p>
      <w:pPr>
        <w:spacing w:line="600" w:lineRule="exact"/>
        <w:ind w:firstLine="640" w:firstLineChars="200"/>
        <w:rPr>
          <w:rFonts w:ascii="仿宋" w:hAnsi="仿宋" w:eastAsia="仿宋" w:cs="仿宋"/>
          <w:sz w:val="32"/>
          <w:szCs w:val="32"/>
        </w:rPr>
      </w:pPr>
      <w:r>
        <w:rPr>
          <w:rFonts w:hint="eastAsia" w:ascii="黑体" w:hAnsi="黑体" w:eastAsia="黑体" w:cs="黑体"/>
          <w:sz w:val="32"/>
          <w:szCs w:val="32"/>
        </w:rPr>
        <w:t xml:space="preserve">第六条  </w:t>
      </w:r>
      <w:r>
        <w:rPr>
          <w:rFonts w:hint="eastAsia" w:ascii="仿宋" w:hAnsi="仿宋" w:eastAsia="仿宋" w:cs="仿宋"/>
          <w:sz w:val="32"/>
          <w:szCs w:val="32"/>
        </w:rPr>
        <w:t>县河长制办公室，设在县水利局，设主任1名(由县水利局局长兼任)，副主任2名(1名由县水利局副科级领导兼任、1名由市生态环境局县分局副科级干部兼任)，主要职责是：负责贯彻落实党中央、国务院和省委省政府、市委市政府、县委县政府关于河长制的决策部署，办理县级总河长，县级河长交办的事项，协助县级总河长、县级河长对各乡（镇）、有关部门履行河长制相关职责进行指导、协调、监督和考核。</w:t>
      </w:r>
    </w:p>
    <w:p>
      <w:pPr>
        <w:spacing w:line="600" w:lineRule="exact"/>
        <w:ind w:firstLine="640" w:firstLineChars="200"/>
        <w:rPr>
          <w:rFonts w:ascii="仿宋" w:hAnsi="仿宋" w:eastAsia="仿宋" w:cs="仿宋"/>
          <w:sz w:val="32"/>
          <w:szCs w:val="32"/>
        </w:rPr>
      </w:pPr>
      <w:r>
        <w:rPr>
          <w:rFonts w:hint="eastAsia" w:ascii="黑体" w:hAnsi="黑体" w:eastAsia="黑体" w:cs="黑体"/>
          <w:sz w:val="32"/>
          <w:szCs w:val="32"/>
        </w:rPr>
        <w:t xml:space="preserve">第七条  </w:t>
      </w:r>
      <w:r>
        <w:rPr>
          <w:rFonts w:hint="eastAsia" w:ascii="仿宋" w:hAnsi="仿宋" w:eastAsia="仿宋" w:cs="仿宋"/>
          <w:sz w:val="32"/>
          <w:szCs w:val="32"/>
        </w:rPr>
        <w:t>县水利局机关行政编制7名(含县河长制办公室行政编制)。股级领导职数3名。</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科级领导职数设置另行明确。</w:t>
      </w:r>
    </w:p>
    <w:p>
      <w:pPr>
        <w:spacing w:line="600" w:lineRule="exact"/>
        <w:ind w:firstLine="640" w:firstLineChars="200"/>
        <w:rPr>
          <w:rFonts w:ascii="仿宋" w:hAnsi="仿宋" w:eastAsia="仿宋" w:cs="仿宋"/>
          <w:sz w:val="32"/>
          <w:szCs w:val="32"/>
        </w:rPr>
      </w:pPr>
      <w:r>
        <w:rPr>
          <w:rFonts w:hint="eastAsia" w:ascii="黑体" w:hAnsi="黑体" w:eastAsia="黑体" w:cs="黑体"/>
          <w:sz w:val="32"/>
          <w:szCs w:val="32"/>
        </w:rPr>
        <w:t xml:space="preserve">第八条  </w:t>
      </w:r>
      <w:r>
        <w:rPr>
          <w:rFonts w:hint="eastAsia" w:ascii="仿宋" w:hAnsi="仿宋" w:eastAsia="仿宋" w:cs="仿宋"/>
          <w:sz w:val="32"/>
          <w:szCs w:val="32"/>
        </w:rPr>
        <w:t>县水利局所属事业单位的设置，职责和编制事项另行规定。</w:t>
      </w:r>
    </w:p>
    <w:p>
      <w:pPr>
        <w:spacing w:line="600" w:lineRule="exact"/>
        <w:ind w:firstLine="640" w:firstLineChars="200"/>
        <w:rPr>
          <w:rFonts w:ascii="仿宋" w:hAnsi="仿宋" w:eastAsia="仿宋" w:cs="仿宋"/>
          <w:sz w:val="32"/>
          <w:szCs w:val="32"/>
        </w:rPr>
      </w:pPr>
      <w:r>
        <w:rPr>
          <w:rFonts w:hint="eastAsia" w:ascii="黑体" w:hAnsi="黑体" w:eastAsia="黑体" w:cs="黑体"/>
          <w:sz w:val="32"/>
          <w:szCs w:val="32"/>
        </w:rPr>
        <w:t xml:space="preserve">第九条  </w:t>
      </w:r>
      <w:r>
        <w:rPr>
          <w:rFonts w:hint="eastAsia" w:ascii="仿宋" w:hAnsi="仿宋" w:eastAsia="仿宋" w:cs="仿宋"/>
          <w:sz w:val="32"/>
          <w:szCs w:val="32"/>
        </w:rPr>
        <w:t>本规定具体解释工作由中共高邑县委机构编制委员会办公室承担，其调整由中共高邑县委机构编制委员会办公室按规定程序办理。</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w:t>
      </w:r>
      <w:r>
        <w:rPr>
          <w:rFonts w:hint="eastAsia" w:ascii="仿宋_GB2312" w:hAnsi="Calibri" w:eastAsia="仿宋_GB2312" w:cs="ArialUnicodeMS"/>
          <w:kern w:val="0"/>
          <w:sz w:val="32"/>
          <w:szCs w:val="32"/>
          <w:lang w:val="en-US" w:eastAsia="zh-CN"/>
        </w:rPr>
        <w:t>1</w:t>
      </w:r>
      <w:r>
        <w:rPr>
          <w:rFonts w:hint="eastAsia" w:ascii="仿宋_GB2312" w:hAnsi="Calibri" w:eastAsia="仿宋_GB2312" w:cs="ArialUnicodeMS"/>
          <w:kern w:val="0"/>
          <w:sz w:val="32"/>
          <w:szCs w:val="32"/>
        </w:rPr>
        <w:t>个，具体情况如下：</w:t>
      </w:r>
    </w:p>
    <w:tbl>
      <w:tblPr>
        <w:tblStyle w:val="8"/>
        <w:tblpPr w:leftFromText="180" w:rightFromText="180" w:vertAnchor="text" w:horzAnchor="page" w:tblpXSpec="center" w:tblpY="10"/>
        <w:tblOverlap w:val="never"/>
        <w:tblW w:w="950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7"/>
        <w:gridCol w:w="2571"/>
        <w:gridCol w:w="1804"/>
        <w:gridCol w:w="4163"/>
        <w:gridCol w:w="2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36" w:type="dxa"/>
          <w:trHeight w:val="811" w:hRule="atLeast"/>
          <w:jc w:val="center"/>
        </w:trPr>
        <w:tc>
          <w:tcPr>
            <w:tcW w:w="727"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2571"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1804"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4163"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36" w:type="dxa"/>
          <w:trHeight w:val="596" w:hRule="atLeast"/>
          <w:jc w:val="center"/>
        </w:trPr>
        <w:tc>
          <w:tcPr>
            <w:tcW w:w="727"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2571" w:type="dxa"/>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高邑县水利局</w:t>
            </w:r>
          </w:p>
        </w:tc>
        <w:tc>
          <w:tcPr>
            <w:tcW w:w="1804"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行政</w:t>
            </w:r>
            <w:r>
              <w:rPr>
                <w:rFonts w:hint="eastAsia" w:ascii="仿宋_GB2312" w:hAnsi="Calibri" w:eastAsia="仿宋_GB2312" w:cs="ArialUnicodeMS"/>
                <w:kern w:val="0"/>
                <w:sz w:val="28"/>
                <w:szCs w:val="28"/>
              </w:rPr>
              <w:t>单位</w:t>
            </w:r>
          </w:p>
        </w:tc>
        <w:tc>
          <w:tcPr>
            <w:tcW w:w="4163"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265" w:type="dxa"/>
            <w:gridSpan w:val="4"/>
            <w:tcBorders>
              <w:top w:val="single" w:color="auto" w:sz="4" w:space="0"/>
              <w:left w:val="nil"/>
              <w:bottom w:val="nil"/>
              <w:right w:val="nil"/>
            </w:tcBorders>
          </w:tcPr>
          <w:p>
            <w:pPr>
              <w:spacing w:line="560" w:lineRule="exact"/>
              <w:ind w:firstLine="560" w:firstLineChars="200"/>
              <w:jc w:val="left"/>
              <w:rPr>
                <w:rFonts w:ascii="仿宋_GB2312" w:hAnsi="Calibri" w:eastAsia="仿宋_GB2312" w:cs="ArialUnicodeMS"/>
                <w:kern w:val="0"/>
                <w:sz w:val="28"/>
                <w:szCs w:val="28"/>
              </w:rPr>
            </w:pPr>
          </w:p>
        </w:tc>
        <w:tc>
          <w:tcPr>
            <w:tcW w:w="236" w:type="dxa"/>
            <w:tcBorders>
              <w:top w:val="single" w:color="auto" w:sz="4" w:space="0"/>
              <w:left w:val="nil"/>
              <w:bottom w:val="nil"/>
              <w:right w:val="nil"/>
            </w:tcBorders>
          </w:tcPr>
          <w:p>
            <w:pPr>
              <w:spacing w:line="560" w:lineRule="exact"/>
              <w:ind w:firstLine="560" w:firstLineChars="200"/>
              <w:jc w:val="left"/>
              <w:rPr>
                <w:rFonts w:ascii="仿宋_GB2312" w:hAnsi="Calibri" w:eastAsia="仿宋_GB2312" w:cs="ArialUnicodeMS"/>
                <w:kern w:val="0"/>
                <w:sz w:val="28"/>
                <w:szCs w:val="28"/>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3"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w:pict>
          <v:shape id="_x0000_s1030" o:spid="_x0000_s1030" o:spt="202" type="#_x0000_t202" style="position:absolute;left:0pt;margin-left:-85.7pt;margin-top:238.15pt;height:173.25pt;width:613.65pt;z-index:251666432;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v:path/>
            <v:fill on="f" focussize="0,0"/>
            <v:stroke on="f" weight="0.5pt" joinstyle="miter"/>
            <v:imagedata o:title=""/>
            <o:lock v:ext="edit"/>
            <v:textbo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 xml:space="preserve"> </w:t>
                  </w:r>
                </w:p>
                <w:p>
                  <w:pPr>
                    <w:widowControl/>
                    <w:jc w:val="center"/>
                    <w:rPr>
                      <w:rFonts w:ascii="黑体" w:hAnsi="黑体" w:eastAsia="黑体" w:cs="黑体"/>
                      <w:color w:val="000000" w:themeColor="text1"/>
                      <w:sz w:val="96"/>
                      <w:szCs w:val="96"/>
                    </w:rPr>
                  </w:pPr>
                </w:p>
              </w:txbxContent>
            </v:textbox>
          </v:shape>
        </w:pic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w:pict>
          <v:shape id="_x0000_s1029" o:spid="_x0000_s1029" o:spt="202" type="#_x0000_t202" style="position:absolute;left:0pt;margin-left:-90.8pt;margin-top:4.35pt;height:263.1pt;width:613.65pt;z-index:251680768;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UHz4toAAAALAQAADwAAAAAAAAABACAAAAAiAAAAZHJzL2Rvd25yZXYueG1sUEsBAhQAFAAAAAgA&#10;h07iQK8VPJBcAgAAugQAAA4AAAAAAAAAAQAgAAAAKQEAAGRycy9lMm9Eb2MueG1sUEsFBgAAAAAG&#10;AAYAWQEAAPcFAAAAAA==&#10;">
            <v:path/>
            <v:fill type="pattern" on="t" color2="#FFFFFF" focussize="0,0"/>
            <v:stroke weight="0.5pt" color="#FFD966" joinstyle="round"/>
            <v:imagedata o:title=""/>
            <o:lock v:ext="edit"/>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第二部分 </w:t>
                  </w:r>
                </w:p>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2019年部门决算情况说明</w:t>
                  </w:r>
                </w:p>
                <w:p/>
              </w:txbxContent>
            </v:textbox>
          </v:shape>
        </w:pic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本部门2019年度收入总计（含结转和结余）11413.93万元。与2018年度决算相比，收支各增加</w:t>
      </w:r>
      <w:r>
        <w:rPr>
          <w:rFonts w:hint="eastAsia" w:ascii="仿宋_GB2312" w:hAnsi="Times New Roman" w:eastAsia="仿宋_GB2312" w:cs="DengXian-Regular"/>
          <w:sz w:val="32"/>
          <w:szCs w:val="32"/>
          <w:lang w:val="en-US" w:eastAsia="zh-CN"/>
        </w:rPr>
        <w:t>2799.26</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32</w:t>
      </w:r>
      <w:r>
        <w:rPr>
          <w:rFonts w:hint="eastAsia" w:ascii="仿宋_GB2312" w:hAnsi="Times New Roman" w:eastAsia="仿宋_GB2312" w:cs="DengXian-Regular"/>
          <w:sz w:val="32"/>
          <w:szCs w:val="32"/>
        </w:rPr>
        <w:t>.5</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%，主要原因是项目增多。</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本部门2019年度本年收入合计8288.1</w:t>
      </w:r>
      <w:r>
        <w:rPr>
          <w:rFonts w:hint="eastAsia" w:ascii="仿宋_GB2312" w:hAnsi="Times New Roman" w:eastAsia="仿宋_GB2312" w:cs="DengXian-Regular"/>
          <w:sz w:val="32"/>
          <w:szCs w:val="32"/>
          <w:lang w:val="en-US" w:eastAsia="zh-CN"/>
        </w:rPr>
        <w:t>5</w:t>
      </w:r>
      <w:r>
        <w:rPr>
          <w:rFonts w:hint="eastAsia" w:ascii="仿宋_GB2312" w:hAnsi="Times New Roman" w:eastAsia="仿宋_GB2312" w:cs="DengXian-Regular"/>
          <w:sz w:val="32"/>
          <w:szCs w:val="32"/>
        </w:rPr>
        <w:t>万元，其中：财政拨款收入8288.1</w:t>
      </w:r>
      <w:r>
        <w:rPr>
          <w:rFonts w:hint="eastAsia" w:ascii="仿宋_GB2312" w:hAnsi="Times New Roman" w:eastAsia="仿宋_GB2312" w:cs="DengXian-Regular"/>
          <w:sz w:val="32"/>
          <w:szCs w:val="32"/>
          <w:lang w:val="en-US" w:eastAsia="zh-CN"/>
        </w:rPr>
        <w:t>5</w:t>
      </w:r>
      <w:r>
        <w:rPr>
          <w:rFonts w:hint="eastAsia" w:ascii="仿宋_GB2312" w:hAnsi="Times New Roman" w:eastAsia="仿宋_GB2312" w:cs="DengXian-Regular"/>
          <w:sz w:val="32"/>
          <w:szCs w:val="32"/>
        </w:rPr>
        <w:t>万元，占100%；事业收入0万元，占0%；经营收入0万元，占0%；其他收入0万元，占0%。</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本部门2019年度本年支出合计6090.13万元，其中：基本支出401.54万元，占7%；项目支出5688.5</w:t>
      </w:r>
      <w:r>
        <w:rPr>
          <w:rFonts w:hint="eastAsia" w:ascii="仿宋_GB2312" w:hAnsi="Times New Roman" w:eastAsia="仿宋_GB2312" w:cs="DengXian-Regular"/>
          <w:sz w:val="32"/>
          <w:szCs w:val="32"/>
          <w:lang w:val="en-US" w:eastAsia="zh-CN"/>
        </w:rPr>
        <w:t>9</w:t>
      </w:r>
      <w:r>
        <w:rPr>
          <w:rFonts w:hint="eastAsia" w:ascii="仿宋_GB2312" w:hAnsi="Times New Roman" w:eastAsia="仿宋_GB2312" w:cs="DengXian-Regular"/>
          <w:sz w:val="32"/>
          <w:szCs w:val="32"/>
        </w:rPr>
        <w:t>万元，占93%。如图所示</w:t>
      </w:r>
      <w:r>
        <w:rPr>
          <w:rFonts w:hint="eastAsia" w:ascii="仿宋_GB2312" w:hAnsi="Times New Roman" w:eastAsia="仿宋_GB2312" w:cs="DengXian-Regular"/>
          <w:sz w:val="32"/>
          <w:szCs w:val="32"/>
          <w:lang w:eastAsia="zh-CN"/>
        </w:rPr>
        <w:t>：</w:t>
      </w:r>
    </w:p>
    <w:p>
      <w:pPr>
        <w:adjustRightInd w:val="0"/>
        <w:snapToGrid w:val="0"/>
        <w:spacing w:line="580" w:lineRule="exact"/>
        <w:ind w:firstLine="1260" w:firstLineChars="600"/>
      </w:pPr>
      <w:r>
        <w:drawing>
          <wp:anchor distT="0" distB="0" distL="114300" distR="114300" simplePos="0" relativeHeight="251684864" behindDoc="0" locked="0" layoutInCell="1" allowOverlap="1">
            <wp:simplePos x="0" y="0"/>
            <wp:positionH relativeFrom="column">
              <wp:posOffset>234950</wp:posOffset>
            </wp:positionH>
            <wp:positionV relativeFrom="paragraph">
              <wp:posOffset>268605</wp:posOffset>
            </wp:positionV>
            <wp:extent cx="4810125" cy="2959735"/>
            <wp:effectExtent l="4445" t="4445" r="5080" b="7620"/>
            <wp:wrapTopAndBottom/>
            <wp:docPr id="31" name="图表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anchor>
        </w:drawing>
      </w:r>
    </w:p>
    <w:p>
      <w:pPr>
        <w:adjustRightInd w:val="0"/>
        <w:snapToGrid w:val="0"/>
        <w:spacing w:line="580" w:lineRule="exact"/>
        <w:ind w:firstLine="640" w:firstLineChars="200"/>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本部门2019年度财政拨款本年收入8288.1</w:t>
      </w:r>
      <w:r>
        <w:rPr>
          <w:rFonts w:hint="eastAsia" w:ascii="仿宋_GB2312" w:hAnsi="Times New Roman" w:eastAsia="仿宋_GB2312" w:cs="DengXian-Regular"/>
          <w:sz w:val="32"/>
          <w:szCs w:val="32"/>
          <w:lang w:val="en-US" w:eastAsia="zh-CN"/>
        </w:rPr>
        <w:t>5</w:t>
      </w:r>
      <w:r>
        <w:rPr>
          <w:rFonts w:hint="eastAsia" w:ascii="仿宋_GB2312" w:hAnsi="Times New Roman" w:eastAsia="仿宋_GB2312" w:cs="DengXian-Regular"/>
          <w:sz w:val="32"/>
          <w:szCs w:val="32"/>
        </w:rPr>
        <w:t>万元,比2018年度增加5336.71万元，增长180.82%，主要是上级专款增加；本年支出6090.13万元，</w:t>
      </w:r>
      <w:r>
        <w:rPr>
          <w:rFonts w:hint="eastAsia" w:ascii="仿宋_GB2312" w:hAnsi="Times New Roman" w:eastAsia="仿宋_GB2312" w:cs="DengXian-Regular"/>
          <w:sz w:val="32"/>
          <w:szCs w:val="32"/>
          <w:lang w:eastAsia="zh-CN"/>
        </w:rPr>
        <w:t>比</w:t>
      </w:r>
      <w:r>
        <w:rPr>
          <w:rFonts w:hint="eastAsia" w:ascii="仿宋_GB2312" w:hAnsi="Times New Roman" w:eastAsia="仿宋_GB2312" w:cs="DengXian-Regular"/>
          <w:sz w:val="32"/>
          <w:szCs w:val="32"/>
          <w:lang w:val="en-US" w:eastAsia="zh-CN"/>
        </w:rPr>
        <w:t>2018年度</w:t>
      </w:r>
      <w:r>
        <w:rPr>
          <w:rFonts w:hint="eastAsia" w:ascii="仿宋_GB2312" w:hAnsi="Times New Roman" w:eastAsia="仿宋_GB2312" w:cs="DengXian-Regular"/>
          <w:sz w:val="32"/>
          <w:szCs w:val="32"/>
        </w:rPr>
        <w:t>增加603.06万元，增长10.99%，主要是项目支出增加。具体情况如下：</w:t>
      </w:r>
    </w:p>
    <w:p>
      <w:pPr>
        <w:numPr>
          <w:ilvl w:val="0"/>
          <w:numId w:val="1"/>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一般公共预算财政拨款本年收入8283.7</w:t>
      </w:r>
      <w:r>
        <w:rPr>
          <w:rFonts w:hint="eastAsia" w:ascii="仿宋_GB2312" w:hAnsi="Times New Roman" w:eastAsia="仿宋_GB2312" w:cs="DengXian-Regular"/>
          <w:sz w:val="32"/>
          <w:szCs w:val="32"/>
          <w:lang w:val="en-US" w:eastAsia="zh-CN"/>
        </w:rPr>
        <w:t>9</w:t>
      </w:r>
      <w:r>
        <w:rPr>
          <w:rFonts w:hint="eastAsia" w:ascii="仿宋_GB2312" w:hAnsi="Times New Roman" w:eastAsia="仿宋_GB2312" w:cs="DengXian-Regular"/>
          <w:sz w:val="32"/>
          <w:szCs w:val="32"/>
        </w:rPr>
        <w:t>万元，比上年增加5345.7</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增长</w:t>
      </w:r>
      <w:r>
        <w:rPr>
          <w:rFonts w:hint="eastAsia" w:ascii="仿宋_GB2312" w:hAnsi="Times New Roman" w:eastAsia="仿宋_GB2312" w:cs="DengXian-Regular"/>
          <w:sz w:val="32"/>
          <w:szCs w:val="32"/>
          <w:lang w:val="en-US" w:eastAsia="zh-CN"/>
        </w:rPr>
        <w:t>181.95</w:t>
      </w:r>
      <w:r>
        <w:rPr>
          <w:rFonts w:hint="eastAsia" w:ascii="仿宋_GB2312" w:hAnsi="Times New Roman" w:eastAsia="仿宋_GB2312" w:cs="DengXian-Regular"/>
          <w:sz w:val="32"/>
          <w:szCs w:val="32"/>
        </w:rPr>
        <w:t>%；主要是上级专项资金；本年支出6081.1</w:t>
      </w:r>
      <w:r>
        <w:rPr>
          <w:rFonts w:hint="eastAsia" w:ascii="仿宋_GB2312" w:hAnsi="Times New Roman" w:eastAsia="仿宋_GB2312" w:cs="DengXian-Regular"/>
          <w:sz w:val="32"/>
          <w:szCs w:val="32"/>
          <w:lang w:val="en-US" w:eastAsia="zh-CN"/>
        </w:rPr>
        <w:t>8</w:t>
      </w:r>
      <w:r>
        <w:rPr>
          <w:rFonts w:hint="eastAsia" w:ascii="仿宋_GB2312" w:hAnsi="Times New Roman" w:eastAsia="仿宋_GB2312" w:cs="DengXian-Regular"/>
          <w:sz w:val="32"/>
          <w:szCs w:val="32"/>
        </w:rPr>
        <w:t>万元，比上年增加</w:t>
      </w:r>
      <w:r>
        <w:rPr>
          <w:rFonts w:hint="eastAsia" w:ascii="仿宋_GB2312" w:hAnsi="Times New Roman" w:eastAsia="仿宋_GB2312" w:cs="DengXian-Regular"/>
          <w:sz w:val="32"/>
          <w:szCs w:val="32"/>
          <w:lang w:val="en-US" w:eastAsia="zh-CN"/>
        </w:rPr>
        <w:t>596.71</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增长</w:t>
      </w:r>
      <w:r>
        <w:rPr>
          <w:rFonts w:hint="eastAsia" w:ascii="仿宋_GB2312" w:hAnsi="Times New Roman" w:eastAsia="仿宋_GB2312" w:cs="DengXian-Regular"/>
          <w:sz w:val="32"/>
          <w:szCs w:val="32"/>
          <w:lang w:val="en-US" w:eastAsia="zh-CN"/>
        </w:rPr>
        <w:t>10.88</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主要是上级专项资金支出增多。</w:t>
      </w:r>
    </w:p>
    <w:p>
      <w:pPr>
        <w:numPr>
          <w:ilvl w:val="0"/>
          <w:numId w:val="1"/>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政府性基金预算财政拨款本年收入</w:t>
      </w:r>
      <w:r>
        <w:rPr>
          <w:rFonts w:hint="eastAsia" w:ascii="仿宋_GB2312" w:hAnsi="Times New Roman" w:eastAsia="仿宋_GB2312" w:cs="DengXian-Regular"/>
          <w:sz w:val="32"/>
          <w:szCs w:val="32"/>
          <w:lang w:val="en-US" w:eastAsia="zh-CN"/>
        </w:rPr>
        <w:t>4.36</w:t>
      </w:r>
      <w:r>
        <w:rPr>
          <w:rFonts w:hint="eastAsia" w:ascii="仿宋_GB2312" w:hAnsi="Times New Roman" w:eastAsia="仿宋_GB2312" w:cs="DengXian-Regular"/>
          <w:sz w:val="32"/>
          <w:szCs w:val="32"/>
        </w:rPr>
        <w:t>万元，比上年减少</w:t>
      </w:r>
      <w:r>
        <w:rPr>
          <w:rFonts w:hint="eastAsia" w:ascii="仿宋_GB2312" w:hAnsi="Times New Roman" w:eastAsia="仿宋_GB2312" w:cs="DengXian-Regular"/>
          <w:sz w:val="32"/>
          <w:szCs w:val="32"/>
          <w:lang w:val="en-US" w:eastAsia="zh-CN"/>
        </w:rPr>
        <w:t>9</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67.37</w:t>
      </w:r>
      <w:r>
        <w:rPr>
          <w:rFonts w:hint="eastAsia" w:ascii="仿宋_GB2312" w:hAnsi="Times New Roman" w:eastAsia="仿宋_GB2312" w:cs="DengXian-Regular"/>
          <w:sz w:val="32"/>
          <w:szCs w:val="32"/>
        </w:rPr>
        <w:t>%，主要原因是基金下达数额减少；本年支出8.95万元</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上年支出4.41万元，比上年增加4.54万元，增长10</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val="en-US" w:eastAsia="zh-CN"/>
        </w:rPr>
        <w:t>95</w:t>
      </w:r>
      <w:r>
        <w:rPr>
          <w:rFonts w:hint="eastAsia" w:ascii="仿宋_GB2312" w:hAnsi="Times New Roman" w:eastAsia="仿宋_GB2312" w:cs="DengXian-Regular"/>
          <w:sz w:val="32"/>
          <w:szCs w:val="32"/>
        </w:rPr>
        <w:t>%，主要是支付进度按照工程进度支付。</w:t>
      </w: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964" w:firstLineChars="300"/>
        <w:rPr>
          <w:rFonts w:hint="eastAsia" w:ascii="楷体_GB2312" w:hAnsi="Times New Roman" w:eastAsia="楷体_GB2312" w:cs="DengXian-Bold"/>
          <w:b/>
          <w:bCs/>
          <w:sz w:val="32"/>
          <w:szCs w:val="32"/>
        </w:rPr>
      </w:pPr>
    </w:p>
    <w:p>
      <w:pPr>
        <w:snapToGrid w:val="0"/>
        <w:spacing w:line="580" w:lineRule="exact"/>
        <w:ind w:firstLine="964" w:firstLineChars="300"/>
        <w:rPr>
          <w:rFonts w:hint="eastAsia" w:ascii="楷体_GB2312" w:hAnsi="Times New Roman" w:eastAsia="楷体_GB2312" w:cs="DengXian-Bold"/>
          <w:b/>
          <w:bCs/>
          <w:sz w:val="32"/>
          <w:szCs w:val="32"/>
        </w:rPr>
      </w:pPr>
    </w:p>
    <w:p>
      <w:pPr>
        <w:snapToGrid w:val="0"/>
        <w:spacing w:line="580" w:lineRule="exact"/>
        <w:ind w:firstLine="964" w:firstLineChars="300"/>
        <w:rPr>
          <w:rFonts w:hint="eastAsia" w:ascii="楷体_GB2312" w:hAnsi="Times New Roman" w:eastAsia="楷体_GB2312" w:cs="DengXian-Bold"/>
          <w:b/>
          <w:bCs/>
          <w:sz w:val="32"/>
          <w:szCs w:val="32"/>
        </w:rPr>
      </w:pPr>
    </w:p>
    <w:p>
      <w:pPr>
        <w:snapToGrid w:val="0"/>
        <w:spacing w:line="580" w:lineRule="exact"/>
        <w:ind w:firstLine="964" w:firstLineChars="300"/>
        <w:rPr>
          <w:rFonts w:hint="eastAsia" w:ascii="楷体_GB2312" w:hAnsi="Times New Roman" w:eastAsia="楷体_GB2312" w:cs="DengXian-Bold"/>
          <w:b/>
          <w:bCs/>
          <w:sz w:val="32"/>
          <w:szCs w:val="32"/>
        </w:rPr>
      </w:pPr>
    </w:p>
    <w:p>
      <w:pPr>
        <w:snapToGrid w:val="0"/>
        <w:spacing w:line="580" w:lineRule="exact"/>
        <w:ind w:firstLine="964" w:firstLineChars="300"/>
        <w:rPr>
          <w:rFonts w:hint="eastAsia" w:ascii="楷体_GB2312" w:hAnsi="Times New Roman" w:eastAsia="楷体_GB2312" w:cs="DengXian-Bold"/>
          <w:b/>
          <w:bCs/>
          <w:sz w:val="32"/>
          <w:szCs w:val="32"/>
        </w:rPr>
      </w:pPr>
    </w:p>
    <w:p>
      <w:pPr>
        <w:snapToGrid w:val="0"/>
        <w:spacing w:line="580" w:lineRule="exact"/>
        <w:ind w:firstLine="630" w:firstLineChars="300"/>
        <w:rPr>
          <w:rFonts w:ascii="仿宋_GB2312" w:hAnsi="Times New Roman" w:eastAsia="仿宋_GB2312" w:cs="DengXian-Bold"/>
          <w:b/>
          <w:bCs/>
          <w:sz w:val="32"/>
          <w:szCs w:val="32"/>
        </w:rPr>
      </w:pPr>
      <w:r>
        <w:drawing>
          <wp:anchor distT="0" distB="0" distL="114300" distR="114300" simplePos="0" relativeHeight="251683840" behindDoc="0" locked="0" layoutInCell="1" allowOverlap="1">
            <wp:simplePos x="0" y="0"/>
            <wp:positionH relativeFrom="column">
              <wp:posOffset>647700</wp:posOffset>
            </wp:positionH>
            <wp:positionV relativeFrom="paragraph">
              <wp:posOffset>71120</wp:posOffset>
            </wp:positionV>
            <wp:extent cx="4572000" cy="2743200"/>
            <wp:effectExtent l="0" t="0" r="0" b="0"/>
            <wp:wrapTopAndBottom/>
            <wp:docPr id="30"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anchor>
        </w:drawing>
      </w: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本部门2019年度财政拨款本年收入8288.1</w:t>
      </w:r>
      <w:r>
        <w:rPr>
          <w:rFonts w:hint="eastAsia" w:ascii="仿宋_GB2312" w:hAnsi="Times New Roman" w:eastAsia="仿宋_GB2312" w:cs="DengXian-Regular"/>
          <w:sz w:val="32"/>
          <w:szCs w:val="32"/>
          <w:lang w:val="en-US" w:eastAsia="zh-CN"/>
        </w:rPr>
        <w:t>5</w:t>
      </w:r>
      <w:r>
        <w:rPr>
          <w:rFonts w:hint="eastAsia" w:ascii="仿宋_GB2312" w:hAnsi="Times New Roman" w:eastAsia="仿宋_GB2312" w:cs="DengXian-Regular"/>
          <w:sz w:val="32"/>
          <w:szCs w:val="32"/>
        </w:rPr>
        <w:t>万元，2019年预算4160.46万元，完成年初预算的199.21%（如图4）,比年初预算增加4127.685858万元，决算数大于预算数主要原因是上级专项资金的下达；本年支出6090.13万元，完成年初预算的147.54%,比年初预算增加1962.44491万元，决算数大于预算数主要原因是主要是上级专项资金的增加。具体情况如下：</w:t>
      </w:r>
    </w:p>
    <w:p>
      <w:pPr>
        <w:numPr>
          <w:ilvl w:val="0"/>
          <w:numId w:val="2"/>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一般公共财政拨款本年收入8283.7</w:t>
      </w:r>
      <w:r>
        <w:rPr>
          <w:rFonts w:hint="eastAsia" w:ascii="仿宋_GB2312" w:hAnsi="Times New Roman" w:eastAsia="仿宋_GB2312" w:cs="DengXian-Regular"/>
          <w:sz w:val="32"/>
          <w:szCs w:val="32"/>
          <w:lang w:val="en-US" w:eastAsia="zh-CN"/>
        </w:rPr>
        <w:t>9</w:t>
      </w:r>
      <w:r>
        <w:rPr>
          <w:rFonts w:hint="eastAsia" w:ascii="仿宋_GB2312" w:hAnsi="Times New Roman" w:eastAsia="仿宋_GB2312" w:cs="DengXian-Regular"/>
          <w:sz w:val="32"/>
          <w:szCs w:val="32"/>
        </w:rPr>
        <w:t>万元，年初预算4158.1万元，完成年初预算199.22%，比年初预算增加4125.685858万元，主要是上级专项资金的增加；一般公共财政拨款支出6081.1</w:t>
      </w:r>
      <w:r>
        <w:rPr>
          <w:rFonts w:hint="eastAsia" w:ascii="仿宋_GB2312" w:hAnsi="Times New Roman" w:eastAsia="仿宋_GB2312" w:cs="DengXian-Regular"/>
          <w:sz w:val="32"/>
          <w:szCs w:val="32"/>
          <w:lang w:val="en-US" w:eastAsia="zh-CN"/>
        </w:rPr>
        <w:t>8</w:t>
      </w:r>
      <w:r>
        <w:rPr>
          <w:rFonts w:hint="eastAsia" w:ascii="仿宋_GB2312" w:hAnsi="Times New Roman" w:eastAsia="仿宋_GB2312" w:cs="DengXian-Regular"/>
          <w:sz w:val="32"/>
          <w:szCs w:val="32"/>
        </w:rPr>
        <w:t>万元，一般公共预算支出4158.1万元，完成年初预算146.25%，比年初预算增加1923.08万元，主要是上级专款项目的增加。</w:t>
      </w:r>
    </w:p>
    <w:p>
      <w:pPr>
        <w:numPr>
          <w:ilvl w:val="0"/>
          <w:numId w:val="2"/>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政府性基金收入</w:t>
      </w:r>
      <w:r>
        <w:rPr>
          <w:rFonts w:hint="eastAsia" w:ascii="仿宋_GB2312" w:hAnsi="Times New Roman" w:eastAsia="仿宋_GB2312" w:cs="DengXian-Regular"/>
          <w:sz w:val="32"/>
          <w:szCs w:val="32"/>
          <w:lang w:val="en-US" w:eastAsia="zh-CN"/>
        </w:rPr>
        <w:t>4.36</w:t>
      </w:r>
      <w:r>
        <w:rPr>
          <w:rFonts w:hint="eastAsia" w:ascii="仿宋_GB2312" w:hAnsi="Times New Roman" w:eastAsia="仿宋_GB2312" w:cs="DengXian-Regular"/>
          <w:sz w:val="32"/>
          <w:szCs w:val="32"/>
        </w:rPr>
        <w:t>万元，预算收入2.36万元，政府性基金预算财政拨款本年收入完成年初预算</w:t>
      </w:r>
      <w:r>
        <w:rPr>
          <w:rFonts w:hint="eastAsia" w:ascii="仿宋_GB2312" w:hAnsi="Times New Roman" w:eastAsia="仿宋_GB2312" w:cs="DengXian-Regular"/>
          <w:sz w:val="32"/>
          <w:szCs w:val="32"/>
          <w:lang w:val="en-US" w:eastAsia="zh-CN"/>
        </w:rPr>
        <w:t>184.75</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万元，主要是上级专款下达增加；支出完成年初预算379.41%，比年初预算增加6.594万元，主要是上级专款下达的增加。</w:t>
      </w:r>
    </w:p>
    <w:p>
      <w:pPr>
        <w:numPr>
          <w:ilvl w:val="0"/>
          <w:numId w:val="3"/>
        </w:numPr>
        <w:adjustRightInd w:val="0"/>
        <w:snapToGrid w:val="0"/>
        <w:spacing w:line="580" w:lineRule="exact"/>
        <w:ind w:left="420" w:leftChars="200"/>
        <w:rPr>
          <w:rFonts w:ascii="楷体_GB2312" w:hAnsi="Times New Roman" w:eastAsia="楷体_GB2312" w:cs="DengXian-Bold"/>
          <w:b/>
          <w:bCs/>
          <w:sz w:val="32"/>
          <w:szCs w:val="32"/>
        </w:rPr>
      </w:pPr>
      <w:r>
        <w:drawing>
          <wp:anchor distT="0" distB="0" distL="114300" distR="114300" simplePos="0" relativeHeight="251685888" behindDoc="0" locked="0" layoutInCell="1" allowOverlap="1">
            <wp:simplePos x="0" y="0"/>
            <wp:positionH relativeFrom="column">
              <wp:posOffset>115570</wp:posOffset>
            </wp:positionH>
            <wp:positionV relativeFrom="paragraph">
              <wp:posOffset>276860</wp:posOffset>
            </wp:positionV>
            <wp:extent cx="4572000" cy="2743200"/>
            <wp:effectExtent l="4445" t="4445" r="14605" b="71755"/>
            <wp:wrapTopAndBottom/>
            <wp:docPr id="32"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anchor>
        </w:drawing>
      </w:r>
      <w:r>
        <w:rPr>
          <w:rFonts w:hint="eastAsia" w:ascii="楷体_GB2312" w:hAnsi="Times New Roman" w:eastAsia="楷体_GB2312" w:cs="DengXian-Bold"/>
          <w:b/>
          <w:bCs/>
          <w:sz w:val="32"/>
          <w:szCs w:val="32"/>
        </w:rPr>
        <w:t>财政拨款支出决算结构情况。</w:t>
      </w:r>
    </w:p>
    <w:p>
      <w:pPr>
        <w:adjustRightInd w:val="0"/>
        <w:snapToGrid w:val="0"/>
        <w:spacing w:line="580" w:lineRule="exact"/>
        <w:rPr>
          <w:rFonts w:ascii="楷体_GB2312" w:hAnsi="Times New Roman" w:eastAsia="楷体_GB2312" w:cs="DengXian-Bold"/>
          <w:b/>
          <w:bCs/>
          <w:sz w:val="32"/>
          <w:szCs w:val="32"/>
        </w:rPr>
      </w:pPr>
      <w:r>
        <w:drawing>
          <wp:anchor distT="0" distB="0" distL="114300" distR="114300" simplePos="0" relativeHeight="251659264" behindDoc="0" locked="0" layoutInCell="1" allowOverlap="1">
            <wp:simplePos x="0" y="0"/>
            <wp:positionH relativeFrom="column">
              <wp:posOffset>604520</wp:posOffset>
            </wp:positionH>
            <wp:positionV relativeFrom="paragraph">
              <wp:posOffset>1237615</wp:posOffset>
            </wp:positionV>
            <wp:extent cx="4572000" cy="2743200"/>
            <wp:effectExtent l="4445" t="4445" r="14605" b="14605"/>
            <wp:wrapTopAndBottom/>
            <wp:docPr id="34" name="图表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anchor>
        </w:drawing>
      </w:r>
      <w:r>
        <w:rPr>
          <w:rFonts w:hint="eastAsia" w:ascii="仿宋_GB2312" w:hAnsi="Times New Roman" w:eastAsia="仿宋_GB2312" w:cs="DengXian-Regular"/>
          <w:sz w:val="32"/>
          <w:szCs w:val="32"/>
        </w:rPr>
        <w:t>2019 年度财政拨款支出6090.13万元，主要用于以下方面：社会保障和就业支出38.31万元</w:t>
      </w:r>
      <w:r>
        <w:rPr>
          <w:rFonts w:hint="eastAsia" w:ascii="仿宋_GB2312" w:hAnsi="Times New Roman" w:eastAsia="仿宋_GB2312" w:cs="DengXian-Regular"/>
          <w:sz w:val="32"/>
          <w:szCs w:val="32"/>
          <w:lang w:eastAsia="zh-CN"/>
        </w:rPr>
        <w:t>，占</w:t>
      </w:r>
      <w:r>
        <w:rPr>
          <w:rFonts w:hint="eastAsia" w:ascii="仿宋_GB2312" w:hAnsi="Times New Roman" w:eastAsia="仿宋_GB2312" w:cs="DengXian-Regular"/>
          <w:sz w:val="32"/>
          <w:szCs w:val="32"/>
          <w:lang w:val="en-US" w:eastAsia="zh-CN"/>
        </w:rPr>
        <w:t>0.63%；</w:t>
      </w:r>
      <w:r>
        <w:rPr>
          <w:rFonts w:hint="eastAsia" w:ascii="仿宋_GB2312" w:hAnsi="Times New Roman" w:eastAsia="仿宋_GB2312" w:cs="DengXian-Regular"/>
          <w:sz w:val="32"/>
          <w:szCs w:val="32"/>
        </w:rPr>
        <w:t>卫生健康支出8.2</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，占</w:t>
      </w:r>
      <w:r>
        <w:rPr>
          <w:rFonts w:hint="eastAsia" w:ascii="仿宋_GB2312" w:hAnsi="Times New Roman" w:eastAsia="仿宋_GB2312" w:cs="DengXian-Regular"/>
          <w:sz w:val="32"/>
          <w:szCs w:val="32"/>
          <w:lang w:val="en-US" w:eastAsia="zh-CN"/>
        </w:rPr>
        <w:t>0.13%；</w:t>
      </w:r>
      <w:r>
        <w:rPr>
          <w:rFonts w:hint="eastAsia" w:ascii="仿宋_GB2312" w:hAnsi="Times New Roman" w:eastAsia="仿宋_GB2312" w:cs="DengXian-Regular"/>
          <w:sz w:val="32"/>
          <w:szCs w:val="32"/>
        </w:rPr>
        <w:t>城乡社区支出15.95万元</w:t>
      </w:r>
      <w:r>
        <w:rPr>
          <w:rFonts w:hint="eastAsia" w:ascii="仿宋_GB2312" w:hAnsi="Times New Roman" w:eastAsia="仿宋_GB2312" w:cs="DengXian-Regular"/>
          <w:sz w:val="32"/>
          <w:szCs w:val="32"/>
          <w:lang w:eastAsia="zh-CN"/>
        </w:rPr>
        <w:t>，占</w:t>
      </w:r>
      <w:r>
        <w:rPr>
          <w:rFonts w:hint="eastAsia" w:ascii="仿宋_GB2312" w:hAnsi="Times New Roman" w:eastAsia="仿宋_GB2312" w:cs="DengXian-Regular"/>
          <w:sz w:val="32"/>
          <w:szCs w:val="32"/>
          <w:lang w:val="en-US" w:eastAsia="zh-CN"/>
        </w:rPr>
        <w:t>0.26%；</w:t>
      </w:r>
      <w:r>
        <w:rPr>
          <w:rFonts w:hint="eastAsia" w:ascii="仿宋_GB2312" w:hAnsi="Times New Roman" w:eastAsia="仿宋_GB2312" w:cs="DengXian-Regular"/>
          <w:sz w:val="32"/>
          <w:szCs w:val="32"/>
        </w:rPr>
        <w:t>农林水支出6010.07万元</w:t>
      </w:r>
      <w:r>
        <w:rPr>
          <w:rFonts w:hint="eastAsia" w:ascii="仿宋_GB2312" w:hAnsi="Times New Roman" w:eastAsia="仿宋_GB2312" w:cs="DengXian-Regular"/>
          <w:sz w:val="32"/>
          <w:szCs w:val="32"/>
          <w:lang w:eastAsia="zh-CN"/>
        </w:rPr>
        <w:t>，占</w:t>
      </w:r>
      <w:r>
        <w:rPr>
          <w:rFonts w:hint="eastAsia" w:ascii="仿宋_GB2312" w:hAnsi="Times New Roman" w:eastAsia="仿宋_GB2312" w:cs="DengXian-Regular"/>
          <w:sz w:val="32"/>
          <w:szCs w:val="32"/>
          <w:lang w:val="en-US" w:eastAsia="zh-CN"/>
        </w:rPr>
        <w:t>98.69%；</w:t>
      </w:r>
      <w:r>
        <w:rPr>
          <w:rFonts w:hint="eastAsia" w:ascii="仿宋_GB2312" w:hAnsi="Times New Roman" w:eastAsia="仿宋_GB2312" w:cs="DengXian-Regular"/>
          <w:sz w:val="32"/>
          <w:szCs w:val="32"/>
        </w:rPr>
        <w:t>住房保障支出17.5</w:t>
      </w:r>
      <w:r>
        <w:rPr>
          <w:rFonts w:hint="eastAsia" w:ascii="仿宋_GB2312" w:hAnsi="Times New Roman" w:eastAsia="仿宋_GB2312" w:cs="DengXian-Regular"/>
          <w:sz w:val="32"/>
          <w:szCs w:val="32"/>
          <w:lang w:val="en-US" w:eastAsia="zh-CN"/>
        </w:rPr>
        <w:t>7</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，占</w:t>
      </w:r>
      <w:r>
        <w:rPr>
          <w:rFonts w:hint="eastAsia" w:ascii="仿宋_GB2312" w:hAnsi="Times New Roman" w:eastAsia="仿宋_GB2312" w:cs="DengXian-Regular"/>
          <w:sz w:val="32"/>
          <w:szCs w:val="32"/>
          <w:lang w:val="en-US" w:eastAsia="zh-CN"/>
        </w:rPr>
        <w:t>0.29%</w:t>
      </w:r>
      <w:r>
        <w:rPr>
          <w:rFonts w:hint="eastAsia" w:ascii="仿宋_GB2312" w:hAnsi="Times New Roman" w:eastAsia="仿宋_GB2312" w:cs="DengXian-Regular"/>
          <w:sz w:val="32"/>
          <w:szCs w:val="32"/>
        </w:rPr>
        <w:t>。</w:t>
      </w: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年度财政拨款基本支出401.541441万元，其中：人员经费 360.112666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414287.75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本部门2019年度“三公”经费支出共计2.36万元，完成预算的9</w:t>
      </w:r>
      <w:r>
        <w:rPr>
          <w:rFonts w:hint="eastAsia" w:ascii="仿宋_GB2312" w:hAnsi="Times New Roman" w:eastAsia="仿宋_GB2312" w:cs="DengXian-Regular"/>
          <w:sz w:val="32"/>
          <w:szCs w:val="32"/>
          <w:lang w:val="en-US" w:eastAsia="zh-CN"/>
        </w:rPr>
        <w:t>9.6</w:t>
      </w:r>
      <w:r>
        <w:rPr>
          <w:rFonts w:hint="eastAsia" w:ascii="仿宋_GB2312" w:hAnsi="Times New Roman" w:eastAsia="仿宋_GB2312" w:cs="DengXian-Regular"/>
          <w:sz w:val="32"/>
          <w:szCs w:val="32"/>
        </w:rPr>
        <w:t>%,较预算减少0.1万元，降低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4%，主要是严格遵守中央八项规定</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val="en-US" w:eastAsia="zh-CN"/>
        </w:rPr>
        <w:t>厉行节约</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较2018年度增加</w:t>
      </w:r>
      <w:r>
        <w:rPr>
          <w:rFonts w:hint="eastAsia" w:ascii="仿宋_GB2312" w:hAnsi="Times New Roman" w:eastAsia="仿宋_GB2312" w:cs="DengXian-Regular"/>
          <w:sz w:val="32"/>
          <w:szCs w:val="32"/>
          <w:lang w:val="en-US" w:eastAsia="zh-CN"/>
        </w:rPr>
        <w:t>0.01</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0.4</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有公务接待支出</w:t>
      </w:r>
      <w:r>
        <w:rPr>
          <w:rFonts w:hint="eastAsia" w:ascii="仿宋_GB2312" w:hAnsi="Times New Roman" w:eastAsia="仿宋_GB2312" w:cs="DengXian-Regular"/>
          <w:sz w:val="32"/>
          <w:szCs w:val="32"/>
        </w:rPr>
        <w:t>。具体情况如下：</w:t>
      </w:r>
    </w:p>
    <w:p>
      <w:pPr>
        <w:numPr>
          <w:ilvl w:val="0"/>
          <w:numId w:val="4"/>
        </w:numPr>
        <w:adjustRightInd w:val="0"/>
        <w:snapToGrid w:val="0"/>
        <w:spacing w:line="580" w:lineRule="exact"/>
        <w:ind w:firstLine="643" w:firstLineChars="200"/>
        <w:rPr>
          <w:rFonts w:hint="eastAsia" w:ascii="仿宋_GB2312" w:hAnsi="Times New Roman" w:eastAsia="仿宋_GB2312" w:cs="DengXian-Regular"/>
          <w:color w:val="000000"/>
          <w:sz w:val="32"/>
          <w:szCs w:val="32"/>
          <w:highlight w:val="none"/>
        </w:rPr>
      </w:pPr>
      <w:r>
        <w:rPr>
          <w:rFonts w:hint="eastAsia" w:ascii="楷体_GB2312" w:hAnsi="Times New Roman" w:eastAsia="楷体_GB2312" w:cs="DengXian-Bold"/>
          <w:b/>
          <w:bCs/>
          <w:sz w:val="32"/>
          <w:szCs w:val="32"/>
        </w:rPr>
        <w:t>因公出国（境）费支出0万元。</w:t>
      </w:r>
      <w:r>
        <w:rPr>
          <w:rFonts w:hint="eastAsia" w:ascii="仿宋_GB2312" w:hAnsi="Times New Roman" w:eastAsia="仿宋_GB2312" w:cs="DengXian-Regular"/>
          <w:sz w:val="32"/>
          <w:szCs w:val="32"/>
        </w:rPr>
        <w:t>本部门2019年度因公出国（境）团组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人/无本单位组织的出国（境）团组。因公出国（境）费支出</w:t>
      </w:r>
      <w:r>
        <w:rPr>
          <w:rFonts w:hint="eastAsia" w:ascii="仿宋_GB2312" w:hAnsi="Times New Roman" w:eastAsia="仿宋_GB2312" w:cs="DengXian-Regular"/>
          <w:color w:val="000000"/>
          <w:sz w:val="32"/>
          <w:szCs w:val="32"/>
          <w:highlight w:val="none"/>
        </w:rPr>
        <w:t>与年初预算持平</w:t>
      </w:r>
      <w:r>
        <w:rPr>
          <w:rFonts w:hint="eastAsia" w:ascii="仿宋_GB2312" w:hAnsi="Times New Roman" w:eastAsia="仿宋_GB2312" w:cs="DengXian-Regular"/>
          <w:sz w:val="32"/>
          <w:szCs w:val="32"/>
          <w:highlight w:val="none"/>
          <w:lang w:eastAsia="zh-CN"/>
        </w:rPr>
        <w:t>，</w:t>
      </w:r>
      <w:r>
        <w:rPr>
          <w:rFonts w:hint="eastAsia" w:ascii="仿宋_GB2312" w:hAnsi="Times New Roman" w:eastAsia="仿宋_GB2312" w:cs="DengXian-Regular"/>
          <w:color w:val="000000"/>
          <w:sz w:val="32"/>
          <w:szCs w:val="32"/>
          <w:highlight w:val="none"/>
        </w:rPr>
        <w:t>与2018年度决算支出持平</w:t>
      </w:r>
      <w:r>
        <w:rPr>
          <w:rFonts w:hint="eastAsia" w:ascii="仿宋_GB2312" w:hAnsi="Times New Roman" w:eastAsia="仿宋_GB2312" w:cs="DengXian-Regular"/>
          <w:color w:val="000000"/>
          <w:sz w:val="32"/>
          <w:szCs w:val="32"/>
          <w:highlight w:val="none"/>
          <w:lang w:eastAsia="zh-CN"/>
        </w:rPr>
        <w:t>。</w:t>
      </w:r>
    </w:p>
    <w:p>
      <w:pPr>
        <w:numPr>
          <w:ilvl w:val="0"/>
          <w:numId w:val="0"/>
        </w:numPr>
        <w:adjustRightInd w:val="0"/>
        <w:snapToGrid w:val="0"/>
        <w:spacing w:line="580" w:lineRule="exact"/>
        <w:ind w:firstLine="643" w:firstLineChars="200"/>
        <w:rPr>
          <w:rFonts w:hint="eastAsia" w:ascii="仿宋_GB2312" w:hAnsi="Times New Roman" w:eastAsia="仿宋_GB2312" w:cs="DengXian-Regular"/>
          <w:sz w:val="32"/>
          <w:szCs w:val="32"/>
        </w:rPr>
      </w:pPr>
      <w:r>
        <w:rPr>
          <w:rFonts w:hint="eastAsia" w:ascii="楷体_GB2312" w:hAnsi="Times New Roman" w:eastAsia="楷体_GB2312" w:cs="DengXian-Bold"/>
          <w:b/>
          <w:bCs/>
          <w:sz w:val="32"/>
          <w:szCs w:val="32"/>
        </w:rPr>
        <w:t>（二）公务用车购置及运行维护费支出2.35万元。</w:t>
      </w:r>
      <w:r>
        <w:rPr>
          <w:rFonts w:hint="eastAsia" w:ascii="仿宋_GB2312" w:hAnsi="Times New Roman" w:eastAsia="仿宋_GB2312" w:cs="DengXian-Regular"/>
          <w:sz w:val="32"/>
          <w:szCs w:val="32"/>
        </w:rPr>
        <w:t>本部门2019年度公务用车购置及运行维护费</w:t>
      </w:r>
      <w:r>
        <w:rPr>
          <w:rFonts w:hint="eastAsia" w:ascii="仿宋_GB2312" w:hAnsi="Times New Roman" w:eastAsia="仿宋_GB2312" w:cs="DengXian-Regular"/>
          <w:sz w:val="32"/>
          <w:szCs w:val="32"/>
          <w:lang w:val="en-US" w:eastAsia="zh-CN"/>
        </w:rPr>
        <w:t>与年初</w:t>
      </w:r>
      <w:r>
        <w:rPr>
          <w:rFonts w:hint="eastAsia" w:ascii="仿宋_GB2312" w:hAnsi="Times New Roman" w:eastAsia="仿宋_GB2312" w:cs="DengXian-Regular"/>
          <w:sz w:val="32"/>
          <w:szCs w:val="32"/>
        </w:rPr>
        <w:t>预算</w:t>
      </w:r>
      <w:r>
        <w:rPr>
          <w:rFonts w:hint="eastAsia" w:ascii="仿宋_GB2312" w:hAnsi="Times New Roman" w:eastAsia="仿宋_GB2312" w:cs="DengXian-Regular"/>
          <w:sz w:val="32"/>
          <w:szCs w:val="32"/>
          <w:lang w:val="en-US" w:eastAsia="zh-CN"/>
        </w:rPr>
        <w:t>持平，</w:t>
      </w:r>
      <w:r>
        <w:rPr>
          <w:rFonts w:hint="eastAsia" w:ascii="仿宋_GB2312" w:hAnsi="Times New Roman" w:eastAsia="仿宋_GB2312" w:cs="DengXian-Regular"/>
          <w:color w:val="000000"/>
          <w:sz w:val="32"/>
          <w:szCs w:val="32"/>
          <w:highlight w:val="none"/>
        </w:rPr>
        <w:t>与2018年度决算支出持平</w:t>
      </w:r>
      <w:r>
        <w:rPr>
          <w:rFonts w:hint="eastAsia" w:ascii="仿宋_GB2312" w:hAnsi="Times New Roman" w:eastAsia="仿宋_GB2312" w:cs="DengXian-Regular"/>
          <w:color w:val="000000"/>
          <w:sz w:val="32"/>
          <w:szCs w:val="32"/>
          <w:highlight w:val="none"/>
          <w:lang w:eastAsia="zh-CN"/>
        </w:rPr>
        <w:t>。</w:t>
      </w:r>
      <w:r>
        <w:rPr>
          <w:rFonts w:hint="eastAsia" w:ascii="仿宋_GB2312" w:hAnsi="Times New Roman" w:eastAsia="仿宋_GB2312" w:cs="DengXian-Bold"/>
          <w:b/>
          <w:bCs/>
          <w:sz w:val="32"/>
          <w:szCs w:val="32"/>
        </w:rPr>
        <w:t>其中：</w:t>
      </w:r>
    </w:p>
    <w:p>
      <w:pPr>
        <w:numPr>
          <w:ilvl w:val="0"/>
          <w:numId w:val="0"/>
        </w:num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本部门2019年度公务用车购置量0辆，发生“公务用车购置”经费支出0万元</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color w:val="000000"/>
          <w:sz w:val="32"/>
          <w:szCs w:val="32"/>
          <w:highlight w:val="none"/>
        </w:rPr>
        <w:t>未发生“公务用车购置”经费支出</w:t>
      </w:r>
      <w:r>
        <w:rPr>
          <w:rFonts w:hint="eastAsia" w:ascii="仿宋_GB2312" w:hAnsi="Times New Roman" w:eastAsia="仿宋_GB2312" w:cs="DengXian-Regular"/>
          <w:color w:val="000000"/>
          <w:sz w:val="32"/>
          <w:szCs w:val="32"/>
          <w:highlight w:val="none"/>
          <w:lang w:eastAsia="zh-CN"/>
        </w:rPr>
        <w:t>，</w:t>
      </w:r>
      <w:r>
        <w:rPr>
          <w:rFonts w:hint="eastAsia" w:ascii="仿宋_GB2312" w:hAnsi="Times New Roman" w:eastAsia="仿宋_GB2312" w:cs="DengXian-Regular"/>
          <w:sz w:val="32"/>
          <w:szCs w:val="32"/>
        </w:rPr>
        <w:t>支出</w:t>
      </w:r>
      <w:r>
        <w:rPr>
          <w:rFonts w:hint="eastAsia" w:ascii="仿宋_GB2312" w:hAnsi="Times New Roman" w:eastAsia="仿宋_GB2312" w:cs="DengXian-Regular"/>
          <w:color w:val="000000"/>
          <w:sz w:val="32"/>
          <w:szCs w:val="32"/>
          <w:highlight w:val="none"/>
        </w:rPr>
        <w:t>与年初预算持平</w:t>
      </w:r>
      <w:r>
        <w:rPr>
          <w:rFonts w:hint="eastAsia" w:ascii="仿宋_GB2312" w:hAnsi="Times New Roman" w:eastAsia="仿宋_GB2312" w:cs="DengXian-Regular"/>
          <w:color w:val="000000"/>
          <w:sz w:val="32"/>
          <w:szCs w:val="32"/>
          <w:highlight w:val="none"/>
          <w:lang w:eastAsia="zh-CN"/>
        </w:rPr>
        <w:t>，</w:t>
      </w:r>
      <w:r>
        <w:rPr>
          <w:rFonts w:hint="eastAsia" w:ascii="仿宋_GB2312" w:hAnsi="Times New Roman" w:eastAsia="仿宋_GB2312" w:cs="DengXian-Regular"/>
          <w:color w:val="000000"/>
          <w:sz w:val="32"/>
          <w:szCs w:val="32"/>
          <w:highlight w:val="none"/>
        </w:rPr>
        <w:t>与</w:t>
      </w:r>
      <w:r>
        <w:rPr>
          <w:rFonts w:hint="eastAsia" w:ascii="仿宋_GB2312" w:hAnsi="Times New Roman" w:eastAsia="仿宋_GB2312" w:cs="DengXian-Regular"/>
          <w:color w:val="000000"/>
          <w:sz w:val="32"/>
          <w:szCs w:val="32"/>
          <w:highlight w:val="none"/>
          <w:lang w:val="en-US" w:eastAsia="zh-CN"/>
        </w:rPr>
        <w:t>上</w:t>
      </w:r>
      <w:r>
        <w:rPr>
          <w:rFonts w:hint="eastAsia" w:ascii="仿宋_GB2312" w:hAnsi="Times New Roman" w:eastAsia="仿宋_GB2312" w:cs="DengXian-Regular"/>
          <w:color w:val="000000"/>
          <w:sz w:val="32"/>
          <w:szCs w:val="32"/>
          <w:highlight w:val="none"/>
        </w:rPr>
        <w:t>年度决算支出持平</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w:t>
      </w:r>
      <w:r>
        <w:rPr>
          <w:rFonts w:hint="eastAsia" w:ascii="仿宋_GB2312" w:hAnsi="Times New Roman" w:eastAsia="仿宋_GB2312" w:cs="DengXian-Regular"/>
          <w:sz w:val="32"/>
          <w:szCs w:val="32"/>
          <w:lang w:val="en-US" w:eastAsia="zh-CN"/>
        </w:rPr>
        <w:t>6</w:t>
      </w:r>
      <w:r>
        <w:rPr>
          <w:rFonts w:hint="eastAsia" w:ascii="仿宋_GB2312" w:hAnsi="Times New Roman" w:eastAsia="仿宋_GB2312" w:cs="DengXian-Regular"/>
          <w:sz w:val="32"/>
          <w:szCs w:val="32"/>
        </w:rPr>
        <w:t>辆。公车运行维护费支出</w:t>
      </w:r>
      <w:r>
        <w:rPr>
          <w:rFonts w:hint="eastAsia" w:ascii="仿宋_GB2312" w:hAnsi="Times New Roman" w:eastAsia="仿宋_GB2312" w:cs="DengXian-Regular"/>
          <w:sz w:val="32"/>
          <w:szCs w:val="32"/>
          <w:lang w:val="en-US" w:eastAsia="zh-CN"/>
        </w:rPr>
        <w:t>与年初</w:t>
      </w:r>
      <w:r>
        <w:rPr>
          <w:rFonts w:hint="eastAsia" w:ascii="仿宋_GB2312" w:hAnsi="Times New Roman" w:eastAsia="仿宋_GB2312" w:cs="DengXian-Regular"/>
          <w:sz w:val="32"/>
          <w:szCs w:val="32"/>
        </w:rPr>
        <w:t>预算</w:t>
      </w:r>
      <w:r>
        <w:rPr>
          <w:rFonts w:hint="eastAsia" w:ascii="仿宋_GB2312" w:hAnsi="Times New Roman" w:eastAsia="仿宋_GB2312" w:cs="DengXian-Regular"/>
          <w:sz w:val="32"/>
          <w:szCs w:val="32"/>
          <w:lang w:val="en-US" w:eastAsia="zh-CN"/>
        </w:rPr>
        <w:t>持平，</w:t>
      </w:r>
      <w:r>
        <w:rPr>
          <w:rFonts w:hint="eastAsia" w:ascii="仿宋_GB2312" w:hAnsi="Times New Roman" w:eastAsia="仿宋_GB2312" w:cs="DengXian-Regular"/>
          <w:color w:val="000000"/>
          <w:sz w:val="32"/>
          <w:szCs w:val="32"/>
          <w:highlight w:val="none"/>
        </w:rPr>
        <w:t>与2018年度决算支出持平</w:t>
      </w:r>
      <w:r>
        <w:rPr>
          <w:rFonts w:hint="eastAsia" w:ascii="仿宋_GB2312" w:hAnsi="Times New Roman" w:eastAsia="仿宋_GB2312" w:cs="DengXian-Regular"/>
          <w:color w:val="000000"/>
          <w:sz w:val="32"/>
          <w:szCs w:val="32"/>
          <w:highlight w:val="none"/>
          <w:lang w:eastAsia="zh-CN"/>
        </w:rPr>
        <w:t>。</w:t>
      </w:r>
    </w:p>
    <w:p>
      <w:pPr>
        <w:numPr>
          <w:ilvl w:val="0"/>
          <w:numId w:val="4"/>
        </w:numPr>
        <w:adjustRightInd w:val="0"/>
        <w:snapToGrid w:val="0"/>
        <w:spacing w:line="580" w:lineRule="exact"/>
        <w:ind w:left="0" w:leftChars="0" w:firstLine="643" w:firstLineChars="200"/>
        <w:rPr>
          <w:rFonts w:hint="eastAsia" w:ascii="仿宋_GB2312" w:hAnsi="Times New Roman" w:eastAsia="仿宋_GB2312" w:cs="DengXian-Regular"/>
          <w:sz w:val="32"/>
          <w:szCs w:val="32"/>
          <w:highlight w:val="none"/>
        </w:rPr>
      </w:pPr>
      <w:r>
        <w:rPr>
          <w:rFonts w:hint="eastAsia" w:ascii="楷体_GB2312" w:hAnsi="Times New Roman" w:eastAsia="楷体_GB2312" w:cs="DengXian-Bold"/>
          <w:b/>
          <w:bCs/>
          <w:sz w:val="32"/>
          <w:szCs w:val="32"/>
          <w:highlight w:val="none"/>
        </w:rPr>
        <w:t>公务接待费支出0</w:t>
      </w:r>
      <w:r>
        <w:rPr>
          <w:rFonts w:hint="eastAsia" w:ascii="楷体_GB2312" w:hAnsi="Times New Roman" w:eastAsia="楷体_GB2312" w:cs="DengXian-Bold"/>
          <w:b/>
          <w:bCs/>
          <w:sz w:val="32"/>
          <w:szCs w:val="32"/>
          <w:highlight w:val="none"/>
          <w:lang w:val="en-US" w:eastAsia="zh-CN"/>
        </w:rPr>
        <w:t>.01</w:t>
      </w:r>
      <w:r>
        <w:rPr>
          <w:rFonts w:hint="eastAsia" w:ascii="楷体_GB2312" w:hAnsi="Times New Roman" w:eastAsia="楷体_GB2312" w:cs="DengXian-Bold"/>
          <w:b/>
          <w:bCs/>
          <w:sz w:val="32"/>
          <w:szCs w:val="32"/>
          <w:highlight w:val="none"/>
        </w:rPr>
        <w:t>万元。</w:t>
      </w:r>
      <w:r>
        <w:rPr>
          <w:rFonts w:hint="eastAsia" w:ascii="仿宋_GB2312" w:hAnsi="Times New Roman" w:eastAsia="仿宋_GB2312" w:cs="DengXian-Regular"/>
          <w:sz w:val="32"/>
          <w:szCs w:val="32"/>
          <w:highlight w:val="none"/>
        </w:rPr>
        <w:t>本部门2019年度公务接待共</w:t>
      </w:r>
      <w:r>
        <w:rPr>
          <w:rFonts w:hint="eastAsia" w:ascii="仿宋_GB2312" w:hAnsi="Times New Roman" w:eastAsia="仿宋_GB2312" w:cs="DengXian-Regular"/>
          <w:sz w:val="32"/>
          <w:szCs w:val="32"/>
          <w:highlight w:val="none"/>
          <w:lang w:val="en-US" w:eastAsia="zh-CN"/>
        </w:rPr>
        <w:t>1</w:t>
      </w:r>
      <w:r>
        <w:rPr>
          <w:rFonts w:hint="eastAsia" w:ascii="仿宋_GB2312" w:hAnsi="Times New Roman" w:eastAsia="仿宋_GB2312" w:cs="DengXian-Regular"/>
          <w:sz w:val="32"/>
          <w:szCs w:val="32"/>
          <w:highlight w:val="none"/>
        </w:rPr>
        <w:t>批次、</w:t>
      </w:r>
      <w:r>
        <w:rPr>
          <w:rFonts w:hint="eastAsia" w:ascii="仿宋_GB2312" w:hAnsi="Times New Roman" w:eastAsia="仿宋_GB2312" w:cs="DengXian-Regular"/>
          <w:sz w:val="32"/>
          <w:szCs w:val="32"/>
          <w:highlight w:val="none"/>
          <w:lang w:val="en-US" w:eastAsia="zh-CN"/>
        </w:rPr>
        <w:t>2</w:t>
      </w:r>
      <w:r>
        <w:rPr>
          <w:rFonts w:hint="eastAsia" w:ascii="仿宋_GB2312" w:hAnsi="Times New Roman" w:eastAsia="仿宋_GB2312" w:cs="DengXian-Regular"/>
          <w:sz w:val="32"/>
          <w:szCs w:val="32"/>
          <w:highlight w:val="none"/>
        </w:rPr>
        <w:t>人次。公务接待费支出较预算减少</w:t>
      </w:r>
      <w:r>
        <w:rPr>
          <w:rFonts w:hint="eastAsia" w:ascii="仿宋_GB2312" w:hAnsi="Times New Roman" w:eastAsia="仿宋_GB2312" w:cs="DengXian-Regular"/>
          <w:sz w:val="32"/>
          <w:szCs w:val="32"/>
          <w:highlight w:val="none"/>
          <w:lang w:val="en-US" w:eastAsia="zh-CN"/>
        </w:rPr>
        <w:t>0.01</w:t>
      </w:r>
      <w:r>
        <w:rPr>
          <w:rFonts w:hint="eastAsia" w:ascii="仿宋_GB2312" w:hAnsi="Times New Roman" w:eastAsia="仿宋_GB2312" w:cs="DengXian-Regular"/>
          <w:sz w:val="32"/>
          <w:szCs w:val="32"/>
          <w:highlight w:val="none"/>
        </w:rPr>
        <w:t>万元，降低</w:t>
      </w:r>
      <w:r>
        <w:rPr>
          <w:rFonts w:hint="eastAsia" w:ascii="仿宋_GB2312" w:hAnsi="Times New Roman" w:eastAsia="仿宋_GB2312" w:cs="DengXian-Regular"/>
          <w:sz w:val="32"/>
          <w:szCs w:val="32"/>
          <w:highlight w:val="none"/>
          <w:lang w:val="en-US" w:eastAsia="zh-CN"/>
        </w:rPr>
        <w:t>50</w:t>
      </w:r>
      <w:r>
        <w:rPr>
          <w:rFonts w:hint="eastAsia" w:ascii="仿宋_GB2312" w:hAnsi="Times New Roman" w:eastAsia="仿宋_GB2312" w:cs="DengXian-Regular"/>
          <w:sz w:val="32"/>
          <w:szCs w:val="32"/>
          <w:highlight w:val="none"/>
        </w:rPr>
        <w:t>%,主要是严格遵守中央八项规定</w:t>
      </w:r>
      <w:r>
        <w:rPr>
          <w:rFonts w:hint="eastAsia" w:ascii="仿宋_GB2312" w:hAnsi="Times New Roman" w:eastAsia="仿宋_GB2312" w:cs="DengXian-Regular"/>
          <w:sz w:val="32"/>
          <w:szCs w:val="32"/>
          <w:highlight w:val="none"/>
          <w:lang w:eastAsia="zh-CN"/>
        </w:rPr>
        <w:t>，</w:t>
      </w:r>
      <w:r>
        <w:rPr>
          <w:rFonts w:hint="eastAsia" w:ascii="仿宋_GB2312" w:hAnsi="Times New Roman" w:eastAsia="仿宋_GB2312" w:cs="DengXian-Regular"/>
          <w:sz w:val="32"/>
          <w:szCs w:val="32"/>
          <w:highlight w:val="none"/>
          <w:lang w:val="en-US" w:eastAsia="zh-CN"/>
        </w:rPr>
        <w:t>厉行节约</w:t>
      </w:r>
      <w:r>
        <w:rPr>
          <w:rFonts w:hint="eastAsia" w:ascii="仿宋_GB2312" w:hAnsi="Times New Roman" w:eastAsia="仿宋_GB2312" w:cs="DengXian-Regular"/>
          <w:sz w:val="32"/>
          <w:szCs w:val="32"/>
          <w:highlight w:val="none"/>
        </w:rPr>
        <w:t>；较上年度</w:t>
      </w:r>
      <w:r>
        <w:rPr>
          <w:rFonts w:hint="eastAsia" w:ascii="仿宋_GB2312" w:hAnsi="Times New Roman" w:eastAsia="仿宋_GB2312" w:cs="DengXian-Regular"/>
          <w:sz w:val="32"/>
          <w:szCs w:val="32"/>
          <w:highlight w:val="none"/>
          <w:lang w:val="en-US" w:eastAsia="zh-CN"/>
        </w:rPr>
        <w:t>增加0.01</w:t>
      </w:r>
      <w:r>
        <w:rPr>
          <w:rFonts w:hint="eastAsia" w:ascii="仿宋_GB2312" w:hAnsi="Times New Roman" w:eastAsia="仿宋_GB2312" w:cs="DengXian-Regular"/>
          <w:sz w:val="32"/>
          <w:szCs w:val="32"/>
          <w:highlight w:val="none"/>
        </w:rPr>
        <w:t>万元,主要是</w:t>
      </w:r>
      <w:r>
        <w:rPr>
          <w:rFonts w:hint="eastAsia" w:ascii="仿宋_GB2312" w:hAnsi="Times New Roman" w:eastAsia="仿宋_GB2312" w:cs="DengXian-Regular"/>
          <w:sz w:val="32"/>
          <w:szCs w:val="32"/>
          <w:highlight w:val="none"/>
          <w:lang w:val="en-US" w:eastAsia="zh-CN"/>
        </w:rPr>
        <w:t>公务接待增加</w:t>
      </w:r>
      <w:r>
        <w:rPr>
          <w:rFonts w:hint="eastAsia" w:ascii="仿宋_GB2312" w:hAnsi="Times New Roman" w:eastAsia="仿宋_GB2312" w:cs="DengXian-Regular"/>
          <w:sz w:val="32"/>
          <w:szCs w:val="32"/>
          <w:highlight w:val="none"/>
        </w:rPr>
        <w:t>。</w:t>
      </w:r>
    </w:p>
    <w:p>
      <w:pPr>
        <w:numPr>
          <w:ilvl w:val="0"/>
          <w:numId w:val="0"/>
        </w:numPr>
        <w:adjustRightInd w:val="0"/>
        <w:snapToGrid w:val="0"/>
        <w:spacing w:line="580" w:lineRule="exact"/>
        <w:ind w:leftChars="200"/>
        <w:rPr>
          <w:rFonts w:hint="eastAsia" w:ascii="仿宋_GB2312" w:hAnsi="Times New Roman" w:eastAsia="仿宋_GB2312" w:cs="DengXian-Regular"/>
          <w:sz w:val="32"/>
          <w:szCs w:val="32"/>
          <w:highlight w:val="none"/>
        </w:rPr>
      </w:pP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2098</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36.94%</w:t>
      </w:r>
      <w:r>
        <w:rPr>
          <w:rFonts w:hint="eastAsia" w:ascii="仿宋_GB2312" w:hAnsi="仿宋_GB2312" w:eastAsia="仿宋_GB2312" w:cs="仿宋_GB2312"/>
          <w:sz w:val="32"/>
          <w:szCs w:val="32"/>
        </w:rPr>
        <w:t>。</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w:t>
      </w:r>
      <w:r>
        <w:rPr>
          <w:rFonts w:hint="eastAsia" w:ascii="仿宋_GB2312" w:hAnsi="仿宋_GB2312" w:eastAsia="仿宋_GB2312" w:cs="仿宋_GB2312"/>
          <w:sz w:val="32"/>
          <w:szCs w:val="32"/>
          <w:lang w:val="en-US" w:eastAsia="zh-CN"/>
        </w:rPr>
        <w:t>2019年地下水超采综合治理农村生活用水置换</w:t>
      </w:r>
      <w:r>
        <w:rPr>
          <w:rFonts w:hint="eastAsia" w:ascii="仿宋_GB2312" w:hAnsi="仿宋_GB2312" w:eastAsia="仿宋_GB2312" w:cs="仿宋_GB2312"/>
          <w:sz w:val="32"/>
          <w:szCs w:val="32"/>
        </w:rPr>
        <w:t>项目绩效自评结果。</w:t>
      </w:r>
    </w:p>
    <w:p>
      <w:pPr>
        <w:numPr>
          <w:ilvl w:val="0"/>
          <w:numId w:val="0"/>
        </w:numPr>
        <w:adjustRightInd w:val="0"/>
        <w:snapToGrid w:val="0"/>
        <w:spacing w:line="580" w:lineRule="exact"/>
        <w:ind w:firstLine="640" w:firstLineChars="200"/>
        <w:rPr>
          <w:rFonts w:hint="eastAsia" w:ascii="仿宋" w:hAnsi="仿宋" w:eastAsia="仿宋" w:cs="仿宋"/>
          <w:sz w:val="32"/>
          <w:szCs w:val="32"/>
        </w:rPr>
      </w:pPr>
      <w:r>
        <w:rPr>
          <w:rFonts w:hint="eastAsia" w:ascii="仿宋_GB2312" w:hAnsi="仿宋_GB2312" w:eastAsia="仿宋_GB2312" w:cs="仿宋_GB2312"/>
          <w:sz w:val="32"/>
          <w:szCs w:val="32"/>
          <w:lang w:val="en-US" w:eastAsia="zh-CN"/>
        </w:rPr>
        <w:t>2019年地下水超采综合治理农村生活用水置换</w:t>
      </w:r>
      <w:r>
        <w:rPr>
          <w:rFonts w:hint="eastAsia" w:ascii="仿宋_GB2312" w:hAnsi="仿宋_GB2312" w:eastAsia="仿宋_GB2312" w:cs="仿宋_GB2312"/>
          <w:sz w:val="32"/>
          <w:szCs w:val="32"/>
        </w:rPr>
        <w:t>项目自评综述：根据年初设定的绩效目标</w:t>
      </w:r>
      <w:r>
        <w:rPr>
          <w:rFonts w:hint="eastAsia" w:ascii="仿宋_GB2312" w:hAnsi="仿宋_GB2312" w:eastAsia="仿宋_GB2312" w:cs="仿宋_GB2312"/>
          <w:sz w:val="32"/>
          <w:szCs w:val="32"/>
          <w:lang w:eastAsia="zh-CN"/>
        </w:rPr>
        <w:t>，</w:t>
      </w:r>
      <w:r>
        <w:rPr>
          <w:rFonts w:hint="eastAsia" w:ascii="仿宋_GB2312" w:eastAsia="仿宋_GB2312"/>
          <w:sz w:val="32"/>
          <w:szCs w:val="32"/>
        </w:rPr>
        <w:t>高邑县201</w:t>
      </w:r>
      <w:r>
        <w:rPr>
          <w:rFonts w:hint="eastAsia" w:ascii="仿宋_GB2312" w:eastAsia="仿宋_GB2312"/>
          <w:sz w:val="32"/>
          <w:szCs w:val="32"/>
          <w:lang w:val="en-US" w:eastAsia="zh-CN"/>
        </w:rPr>
        <w:t>9</w:t>
      </w:r>
      <w:r>
        <w:rPr>
          <w:rFonts w:hint="eastAsia" w:ascii="仿宋_GB2312" w:eastAsia="仿宋_GB2312"/>
          <w:sz w:val="32"/>
          <w:szCs w:val="32"/>
        </w:rPr>
        <w:t>年度地下水超采农村生活用水置换项目在决策上科学合理，管理上规范到位，基本达到预期的绩效目标，</w:t>
      </w:r>
      <w:r>
        <w:rPr>
          <w:rFonts w:hint="eastAsia" w:ascii="仿宋" w:hAnsi="仿宋" w:eastAsia="仿宋" w:cs="仿宋"/>
          <w:sz w:val="32"/>
          <w:szCs w:val="32"/>
        </w:rPr>
        <w:t>该项目得分 9</w:t>
      </w:r>
      <w:r>
        <w:rPr>
          <w:rFonts w:hint="eastAsia" w:ascii="仿宋" w:hAnsi="仿宋" w:eastAsia="仿宋" w:cs="仿宋"/>
          <w:sz w:val="32"/>
          <w:szCs w:val="32"/>
          <w:lang w:val="en-US" w:eastAsia="zh-CN"/>
        </w:rPr>
        <w:t>3</w:t>
      </w:r>
      <w:r>
        <w:rPr>
          <w:rFonts w:hint="eastAsia" w:ascii="仿宋" w:hAnsi="仿宋" w:eastAsia="仿宋" w:cs="仿宋"/>
          <w:sz w:val="32"/>
          <w:szCs w:val="32"/>
        </w:rPr>
        <w:t>分，等级为优秀</w:t>
      </w:r>
      <w:r>
        <w:rPr>
          <w:rFonts w:hint="eastAsia" w:ascii="仿宋" w:hAnsi="仿宋" w:eastAsia="仿宋" w:cs="仿宋"/>
          <w:sz w:val="32"/>
          <w:szCs w:val="32"/>
          <w:lang w:eastAsia="zh-CN"/>
        </w:rPr>
        <w:t>（绩效自评表附后）</w:t>
      </w:r>
      <w:r>
        <w:rPr>
          <w:rFonts w:hint="eastAsia" w:ascii="仿宋" w:hAnsi="仿宋" w:eastAsia="仿宋" w:cs="仿宋"/>
          <w:sz w:val="32"/>
          <w:szCs w:val="32"/>
        </w:rPr>
        <w:t>。</w:t>
      </w:r>
    </w:p>
    <w:p>
      <w:pPr>
        <w:numPr>
          <w:ilvl w:val="0"/>
          <w:numId w:val="0"/>
        </w:numPr>
        <w:adjustRightInd w:val="0"/>
        <w:snapToGrid w:val="0"/>
        <w:spacing w:line="580" w:lineRule="exact"/>
        <w:ind w:firstLine="640" w:firstLineChars="200"/>
        <w:rPr>
          <w:rFonts w:hint="eastAsia" w:ascii="仿宋" w:hAnsi="仿宋" w:eastAsia="仿宋" w:cs="仿宋"/>
          <w:sz w:val="32"/>
          <w:szCs w:val="32"/>
        </w:rPr>
      </w:pPr>
    </w:p>
    <w:p>
      <w:pPr>
        <w:numPr>
          <w:ilvl w:val="0"/>
          <w:numId w:val="0"/>
        </w:numPr>
        <w:adjustRightInd w:val="0"/>
        <w:snapToGrid w:val="0"/>
        <w:spacing w:line="580" w:lineRule="exact"/>
        <w:ind w:firstLine="640" w:firstLineChars="200"/>
        <w:rPr>
          <w:rFonts w:hint="eastAsia" w:ascii="仿宋" w:hAnsi="仿宋" w:eastAsia="仿宋" w:cs="仿宋"/>
          <w:sz w:val="32"/>
          <w:szCs w:val="32"/>
        </w:rPr>
      </w:pPr>
    </w:p>
    <w:p>
      <w:pPr>
        <w:numPr>
          <w:ilvl w:val="0"/>
          <w:numId w:val="0"/>
        </w:numPr>
        <w:adjustRightInd w:val="0"/>
        <w:snapToGrid w:val="0"/>
        <w:spacing w:line="580" w:lineRule="exact"/>
        <w:ind w:firstLine="640" w:firstLineChars="200"/>
        <w:rPr>
          <w:rFonts w:hint="eastAsia" w:ascii="仿宋" w:hAnsi="仿宋" w:eastAsia="仿宋" w:cs="仿宋"/>
          <w:sz w:val="32"/>
          <w:szCs w:val="32"/>
        </w:rPr>
      </w:pPr>
    </w:p>
    <w:p>
      <w:pPr>
        <w:numPr>
          <w:ilvl w:val="0"/>
          <w:numId w:val="0"/>
        </w:numPr>
        <w:adjustRightInd w:val="0"/>
        <w:snapToGrid w:val="0"/>
        <w:spacing w:line="580" w:lineRule="exact"/>
        <w:ind w:firstLine="640" w:firstLineChars="200"/>
        <w:rPr>
          <w:rFonts w:hint="eastAsia" w:ascii="仿宋" w:hAnsi="仿宋" w:eastAsia="仿宋" w:cs="仿宋"/>
          <w:sz w:val="32"/>
          <w:szCs w:val="32"/>
        </w:rPr>
      </w:pPr>
    </w:p>
    <w:p>
      <w:pPr>
        <w:numPr>
          <w:ilvl w:val="0"/>
          <w:numId w:val="0"/>
        </w:numPr>
        <w:adjustRightInd w:val="0"/>
        <w:snapToGrid w:val="0"/>
        <w:spacing w:line="580" w:lineRule="exact"/>
        <w:ind w:firstLine="640" w:firstLineChars="200"/>
        <w:rPr>
          <w:rFonts w:hint="eastAsia" w:ascii="仿宋" w:hAnsi="仿宋" w:eastAsia="仿宋" w:cs="仿宋"/>
          <w:sz w:val="32"/>
          <w:szCs w:val="32"/>
        </w:rPr>
      </w:pPr>
    </w:p>
    <w:p>
      <w:pPr>
        <w:numPr>
          <w:ilvl w:val="0"/>
          <w:numId w:val="0"/>
        </w:numPr>
        <w:adjustRightInd w:val="0"/>
        <w:snapToGrid w:val="0"/>
        <w:spacing w:line="580" w:lineRule="exact"/>
        <w:ind w:firstLine="640" w:firstLineChars="200"/>
        <w:rPr>
          <w:rFonts w:hint="eastAsia" w:ascii="仿宋" w:hAnsi="仿宋" w:eastAsia="仿宋" w:cs="仿宋"/>
          <w:sz w:val="32"/>
          <w:szCs w:val="32"/>
        </w:rPr>
      </w:pPr>
    </w:p>
    <w:p>
      <w:pPr>
        <w:numPr>
          <w:ilvl w:val="0"/>
          <w:numId w:val="0"/>
        </w:numPr>
        <w:adjustRightInd w:val="0"/>
        <w:snapToGrid w:val="0"/>
        <w:spacing w:line="580" w:lineRule="exact"/>
        <w:ind w:firstLine="640" w:firstLineChars="200"/>
        <w:rPr>
          <w:rFonts w:hint="eastAsia" w:ascii="仿宋" w:hAnsi="仿宋" w:eastAsia="仿宋" w:cs="仿宋"/>
          <w:sz w:val="32"/>
          <w:szCs w:val="32"/>
        </w:rPr>
      </w:pPr>
    </w:p>
    <w:p>
      <w:pPr>
        <w:numPr>
          <w:ilvl w:val="0"/>
          <w:numId w:val="0"/>
        </w:numPr>
        <w:adjustRightInd w:val="0"/>
        <w:snapToGrid w:val="0"/>
        <w:spacing w:line="580" w:lineRule="exact"/>
        <w:rPr>
          <w:rFonts w:hint="eastAsia" w:ascii="仿宋" w:hAnsi="仿宋" w:eastAsia="仿宋" w:cs="仿宋"/>
          <w:sz w:val="32"/>
          <w:szCs w:val="32"/>
        </w:rPr>
      </w:pPr>
    </w:p>
    <w:p>
      <w:pPr>
        <w:numPr>
          <w:ilvl w:val="0"/>
          <w:numId w:val="0"/>
        </w:numPr>
        <w:adjustRightInd w:val="0"/>
        <w:snapToGrid w:val="0"/>
        <w:spacing w:line="580" w:lineRule="exact"/>
        <w:rPr>
          <w:rFonts w:hint="eastAsia" w:ascii="仿宋" w:hAnsi="仿宋" w:eastAsia="仿宋" w:cs="仿宋"/>
          <w:sz w:val="32"/>
          <w:szCs w:val="32"/>
        </w:rPr>
      </w:pPr>
      <w:bookmarkStart w:id="0" w:name="_GoBack"/>
      <w:bookmarkEnd w:id="0"/>
    </w:p>
    <w:tbl>
      <w:tblPr>
        <w:tblW w:w="9220" w:type="dxa"/>
        <w:tblInd w:w="0" w:type="dxa"/>
        <w:shd w:val="clear"/>
        <w:tblLayout w:type="autofit"/>
        <w:tblCellMar>
          <w:top w:w="0" w:type="dxa"/>
          <w:left w:w="0" w:type="dxa"/>
          <w:bottom w:w="0" w:type="dxa"/>
          <w:right w:w="0" w:type="dxa"/>
        </w:tblCellMar>
      </w:tblPr>
      <w:tblGrid>
        <w:gridCol w:w="871"/>
        <w:gridCol w:w="990"/>
        <w:gridCol w:w="810"/>
        <w:gridCol w:w="1018"/>
        <w:gridCol w:w="1113"/>
        <w:gridCol w:w="1587"/>
        <w:gridCol w:w="1681"/>
        <w:gridCol w:w="1150"/>
      </w:tblGrid>
      <w:tr>
        <w:tblPrEx>
          <w:shd w:val="clear"/>
          <w:tblCellMar>
            <w:top w:w="0" w:type="dxa"/>
            <w:left w:w="0" w:type="dxa"/>
            <w:bottom w:w="0" w:type="dxa"/>
            <w:right w:w="0" w:type="dxa"/>
          </w:tblCellMar>
        </w:tblPrEx>
        <w:trPr>
          <w:trHeight w:val="510" w:hRule="atLeast"/>
        </w:trPr>
        <w:tc>
          <w:tcPr>
            <w:tcW w:w="9220" w:type="dxa"/>
            <w:gridSpan w:val="8"/>
            <w:tcBorders>
              <w:top w:val="nil"/>
              <w:left w:val="nil"/>
              <w:bottom w:val="nil"/>
              <w:right w:val="nil"/>
            </w:tcBorders>
            <w:shd w:val="clear"/>
            <w:noWrap/>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_GBK" w:hAnsi="方正小标宋_GBK" w:eastAsia="方正小标宋_GBK" w:cs="方正小标宋_GBK"/>
                <w:i w:val="0"/>
                <w:color w:val="000000"/>
                <w:kern w:val="0"/>
                <w:sz w:val="40"/>
                <w:szCs w:val="40"/>
                <w:u w:val="none"/>
                <w:bdr w:val="none" w:color="auto" w:sz="0" w:space="0"/>
                <w:lang w:val="en-US" w:eastAsia="zh-CN" w:bidi="ar"/>
              </w:rPr>
              <w:t>县级部门预算项目绩效自评表</w:t>
            </w:r>
          </w:p>
        </w:tc>
      </w:tr>
      <w:tr>
        <w:tblPrEx>
          <w:tblCellMar>
            <w:top w:w="0" w:type="dxa"/>
            <w:left w:w="0" w:type="dxa"/>
            <w:bottom w:w="0" w:type="dxa"/>
            <w:right w:w="0" w:type="dxa"/>
          </w:tblCellMar>
        </w:tblPrEx>
        <w:trPr>
          <w:trHeight w:val="300" w:hRule="atLeast"/>
        </w:trPr>
        <w:tc>
          <w:tcPr>
            <w:tcW w:w="0" w:type="auto"/>
            <w:gridSpan w:val="8"/>
            <w:tcBorders>
              <w:top w:val="nil"/>
              <w:left w:val="nil"/>
              <w:bottom w:val="nil"/>
              <w:right w:val="nil"/>
            </w:tcBorders>
            <w:shd w:val="clear"/>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     2019 年度）</w:t>
            </w:r>
          </w:p>
        </w:tc>
      </w:tr>
      <w:tr>
        <w:tblPrEx>
          <w:tblCellMar>
            <w:top w:w="0" w:type="dxa"/>
            <w:left w:w="0" w:type="dxa"/>
            <w:bottom w:w="0" w:type="dxa"/>
            <w:right w:w="0" w:type="dxa"/>
          </w:tblCellMar>
        </w:tblPrEx>
        <w:trPr>
          <w:trHeight w:val="360" w:hRule="atLeast"/>
        </w:trPr>
        <w:tc>
          <w:tcPr>
            <w:tcW w:w="0" w:type="auto"/>
            <w:tcBorders>
              <w:top w:val="nil"/>
              <w:left w:val="nil"/>
              <w:bottom w:val="nil"/>
              <w:right w:val="nil"/>
            </w:tcBorders>
            <w:shd w:val="clear"/>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填报单位：</w:t>
            </w:r>
          </w:p>
        </w:tc>
        <w:tc>
          <w:tcPr>
            <w:tcW w:w="0" w:type="auto"/>
            <w:tcBorders>
              <w:top w:val="nil"/>
              <w:left w:val="nil"/>
              <w:bottom w:val="nil"/>
              <w:right w:val="nil"/>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高邑县水利局</w:t>
            </w:r>
          </w:p>
        </w:tc>
        <w:tc>
          <w:tcPr>
            <w:tcW w:w="0" w:type="auto"/>
            <w:tcBorders>
              <w:top w:val="nil"/>
              <w:left w:val="nil"/>
              <w:bottom w:val="nil"/>
              <w:right w:val="nil"/>
            </w:tcBorders>
            <w:shd w:val="clear"/>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金额单位：万元</w:t>
            </w:r>
          </w:p>
        </w:tc>
      </w:tr>
      <w:tr>
        <w:tblPrEx>
          <w:tblCellMar>
            <w:top w:w="0" w:type="dxa"/>
            <w:left w:w="0" w:type="dxa"/>
            <w:bottom w:w="0" w:type="dxa"/>
            <w:right w:w="0" w:type="dxa"/>
          </w:tblCellMar>
        </w:tblPrEx>
        <w:trPr>
          <w:trHeight w:val="495" w:hRule="atLeast"/>
        </w:trPr>
        <w:tc>
          <w:tcPr>
            <w:tcW w:w="871" w:type="dxa"/>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Style w:val="13"/>
                <w:bdr w:val="none" w:color="auto" w:sz="0" w:space="0"/>
                <w:lang w:val="en-US" w:eastAsia="zh-CN" w:bidi="ar"/>
              </w:rPr>
              <w:t>一、</w:t>
            </w:r>
            <w:r>
              <w:rPr>
                <w:rStyle w:val="14"/>
                <w:rFonts w:eastAsia="宋体"/>
                <w:bdr w:val="none" w:color="auto" w:sz="0" w:space="0"/>
                <w:lang w:val="en-US" w:eastAsia="zh-CN" w:bidi="ar"/>
              </w:rPr>
              <w:t xml:space="preserve"> </w:t>
            </w:r>
            <w:r>
              <w:rPr>
                <w:rStyle w:val="13"/>
                <w:bdr w:val="none" w:color="auto" w:sz="0" w:space="0"/>
                <w:lang w:val="en-US" w:eastAsia="zh-CN" w:bidi="ar"/>
              </w:rPr>
              <w:t>基本情况</w:t>
            </w:r>
          </w:p>
        </w:tc>
        <w:tc>
          <w:tcPr>
            <w:tcW w:w="883"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项目名称</w:t>
            </w:r>
          </w:p>
        </w:tc>
        <w:tc>
          <w:tcPr>
            <w:tcW w:w="1828"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高邑县2019年度地下水超采综合治理农村生活用水置换项目</w:t>
            </w:r>
          </w:p>
        </w:tc>
        <w:tc>
          <w:tcPr>
            <w:tcW w:w="1154"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实施(主管）单位</w:t>
            </w:r>
          </w:p>
        </w:tc>
        <w:tc>
          <w:tcPr>
            <w:tcW w:w="4484" w:type="dxa"/>
            <w:gridSpan w:val="3"/>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高邑县水利局</w:t>
            </w:r>
          </w:p>
        </w:tc>
      </w:tr>
      <w:tr>
        <w:tblPrEx>
          <w:tblCellMar>
            <w:top w:w="0" w:type="dxa"/>
            <w:left w:w="0" w:type="dxa"/>
            <w:bottom w:w="0" w:type="dxa"/>
            <w:right w:w="0" w:type="dxa"/>
          </w:tblCellMar>
        </w:tblPrEx>
        <w:trPr>
          <w:trHeight w:val="270" w:hRule="atLeast"/>
        </w:trPr>
        <w:tc>
          <w:tcPr>
            <w:tcW w:w="871"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二、预算执行情况</w:t>
            </w:r>
          </w:p>
        </w:tc>
        <w:tc>
          <w:tcPr>
            <w:tcW w:w="1693"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预算安排情况（调整后）</w:t>
            </w:r>
          </w:p>
        </w:tc>
        <w:tc>
          <w:tcPr>
            <w:tcW w:w="2172"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资金到位情况</w:t>
            </w:r>
          </w:p>
        </w:tc>
        <w:tc>
          <w:tcPr>
            <w:tcW w:w="3538"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资金执行情况</w:t>
            </w:r>
          </w:p>
        </w:tc>
        <w:tc>
          <w:tcPr>
            <w:tcW w:w="94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预算执行进度</w:t>
            </w:r>
          </w:p>
        </w:tc>
      </w:tr>
      <w:tr>
        <w:tblPrEx>
          <w:tblCellMar>
            <w:top w:w="0" w:type="dxa"/>
            <w:left w:w="0" w:type="dxa"/>
            <w:bottom w:w="0" w:type="dxa"/>
            <w:right w:w="0" w:type="dxa"/>
          </w:tblCellMar>
        </w:tblPrEx>
        <w:trPr>
          <w:trHeight w:val="270" w:hRule="atLeast"/>
        </w:trPr>
        <w:tc>
          <w:tcPr>
            <w:tcW w:w="871"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83"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预算数：</w:t>
            </w:r>
          </w:p>
        </w:tc>
        <w:tc>
          <w:tcPr>
            <w:tcW w:w="81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2098</w:t>
            </w:r>
          </w:p>
        </w:tc>
        <w:tc>
          <w:tcPr>
            <w:tcW w:w="1018"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到位数：</w:t>
            </w:r>
          </w:p>
        </w:tc>
        <w:tc>
          <w:tcPr>
            <w:tcW w:w="1154"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2098</w:t>
            </w:r>
          </w:p>
        </w:tc>
        <w:tc>
          <w:tcPr>
            <w:tcW w:w="1857"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执行数：</w:t>
            </w:r>
          </w:p>
        </w:tc>
        <w:tc>
          <w:tcPr>
            <w:tcW w:w="1681"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1500</w:t>
            </w:r>
          </w:p>
        </w:tc>
        <w:tc>
          <w:tcPr>
            <w:tcW w:w="946"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72%</w:t>
            </w:r>
          </w:p>
        </w:tc>
      </w:tr>
      <w:tr>
        <w:tblPrEx>
          <w:tblCellMar>
            <w:top w:w="0" w:type="dxa"/>
            <w:left w:w="0" w:type="dxa"/>
            <w:bottom w:w="0" w:type="dxa"/>
            <w:right w:w="0" w:type="dxa"/>
          </w:tblCellMar>
        </w:tblPrEx>
        <w:trPr>
          <w:trHeight w:val="460" w:hRule="atLeast"/>
        </w:trPr>
        <w:tc>
          <w:tcPr>
            <w:tcW w:w="871"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83"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其中：财政资金</w:t>
            </w:r>
          </w:p>
        </w:tc>
        <w:tc>
          <w:tcPr>
            <w:tcW w:w="81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2098</w:t>
            </w:r>
          </w:p>
        </w:tc>
        <w:tc>
          <w:tcPr>
            <w:tcW w:w="1018"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其中：财政资金</w:t>
            </w:r>
          </w:p>
        </w:tc>
        <w:tc>
          <w:tcPr>
            <w:tcW w:w="1154"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2098</w:t>
            </w:r>
          </w:p>
        </w:tc>
        <w:tc>
          <w:tcPr>
            <w:tcW w:w="1857"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其中：财政资金</w:t>
            </w:r>
          </w:p>
        </w:tc>
        <w:tc>
          <w:tcPr>
            <w:tcW w:w="1681"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1500</w:t>
            </w:r>
          </w:p>
        </w:tc>
        <w:tc>
          <w:tcPr>
            <w:tcW w:w="946"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285" w:hRule="atLeast"/>
        </w:trPr>
        <w:tc>
          <w:tcPr>
            <w:tcW w:w="871"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83"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其他</w:t>
            </w:r>
          </w:p>
        </w:tc>
        <w:tc>
          <w:tcPr>
            <w:tcW w:w="81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rPr>
                <w:rFonts w:hint="default" w:ascii="Calibri" w:hAnsi="Calibri" w:eastAsia="宋体" w:cs="Calibri"/>
                <w:i w:val="0"/>
                <w:color w:val="000000"/>
                <w:sz w:val="21"/>
                <w:szCs w:val="21"/>
                <w:u w:val="none"/>
              </w:rPr>
            </w:pPr>
          </w:p>
        </w:tc>
        <w:tc>
          <w:tcPr>
            <w:tcW w:w="1018"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其他</w:t>
            </w:r>
          </w:p>
        </w:tc>
        <w:tc>
          <w:tcPr>
            <w:tcW w:w="1154"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1857"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其他</w:t>
            </w:r>
          </w:p>
        </w:tc>
        <w:tc>
          <w:tcPr>
            <w:tcW w:w="1681"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946"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270" w:hRule="atLeast"/>
        </w:trPr>
        <w:tc>
          <w:tcPr>
            <w:tcW w:w="871"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三、目标完成情况</w:t>
            </w:r>
          </w:p>
        </w:tc>
        <w:tc>
          <w:tcPr>
            <w:tcW w:w="2711" w:type="dxa"/>
            <w:gridSpan w:val="3"/>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年度预期目标</w:t>
            </w:r>
          </w:p>
        </w:tc>
        <w:tc>
          <w:tcPr>
            <w:tcW w:w="4692" w:type="dxa"/>
            <w:gridSpan w:val="3"/>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具体完成情况</w:t>
            </w:r>
          </w:p>
        </w:tc>
        <w:tc>
          <w:tcPr>
            <w:tcW w:w="94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总体完成率</w:t>
            </w:r>
          </w:p>
        </w:tc>
      </w:tr>
      <w:tr>
        <w:tblPrEx>
          <w:tblCellMar>
            <w:top w:w="0" w:type="dxa"/>
            <w:left w:w="0" w:type="dxa"/>
            <w:bottom w:w="0" w:type="dxa"/>
            <w:right w:w="0" w:type="dxa"/>
          </w:tblCellMar>
        </w:tblPrEx>
        <w:trPr>
          <w:trHeight w:val="120" w:hRule="atLeast"/>
        </w:trPr>
        <w:tc>
          <w:tcPr>
            <w:tcW w:w="871"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711" w:type="dxa"/>
            <w:gridSpan w:val="3"/>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70%</w:t>
            </w:r>
          </w:p>
        </w:tc>
        <w:tc>
          <w:tcPr>
            <w:tcW w:w="4692" w:type="dxa"/>
            <w:gridSpan w:val="3"/>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72%</w:t>
            </w:r>
          </w:p>
        </w:tc>
        <w:tc>
          <w:tcPr>
            <w:tcW w:w="946"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72%</w:t>
            </w:r>
          </w:p>
        </w:tc>
      </w:tr>
      <w:tr>
        <w:tblPrEx>
          <w:tblCellMar>
            <w:top w:w="0" w:type="dxa"/>
            <w:left w:w="0" w:type="dxa"/>
            <w:bottom w:w="0" w:type="dxa"/>
            <w:right w:w="0" w:type="dxa"/>
          </w:tblCellMar>
        </w:tblPrEx>
        <w:trPr>
          <w:trHeight w:val="270" w:hRule="atLeast"/>
        </w:trPr>
        <w:tc>
          <w:tcPr>
            <w:tcW w:w="871"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711" w:type="dxa"/>
            <w:gridSpan w:val="3"/>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692" w:type="dxa"/>
            <w:gridSpan w:val="3"/>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46"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135" w:hRule="atLeast"/>
        </w:trPr>
        <w:tc>
          <w:tcPr>
            <w:tcW w:w="871"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711" w:type="dxa"/>
            <w:gridSpan w:val="3"/>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692" w:type="dxa"/>
            <w:gridSpan w:val="3"/>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46"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270" w:hRule="atLeast"/>
        </w:trPr>
        <w:tc>
          <w:tcPr>
            <w:tcW w:w="871" w:type="dxa"/>
            <w:vMerge w:val="restart"/>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Style w:val="13"/>
                <w:bdr w:val="none" w:color="auto" w:sz="0" w:space="0"/>
                <w:lang w:val="en-US" w:eastAsia="zh-CN" w:bidi="ar"/>
              </w:rPr>
              <w:t>四、</w:t>
            </w:r>
            <w:r>
              <w:rPr>
                <w:rStyle w:val="14"/>
                <w:rFonts w:eastAsia="宋体"/>
                <w:bdr w:val="none" w:color="auto" w:sz="0" w:space="0"/>
                <w:lang w:val="en-US" w:eastAsia="zh-CN" w:bidi="ar"/>
              </w:rPr>
              <w:t xml:space="preserve"> </w:t>
            </w:r>
            <w:r>
              <w:rPr>
                <w:rStyle w:val="13"/>
                <w:bdr w:val="none" w:color="auto" w:sz="0" w:space="0"/>
                <w:lang w:val="en-US" w:eastAsia="zh-CN" w:bidi="ar"/>
              </w:rPr>
              <w:t>年度绩效指标完成情况</w:t>
            </w:r>
          </w:p>
        </w:tc>
        <w:tc>
          <w:tcPr>
            <w:tcW w:w="883"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一级指标</w:t>
            </w:r>
          </w:p>
        </w:tc>
        <w:tc>
          <w:tcPr>
            <w:tcW w:w="81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二级指标</w:t>
            </w:r>
          </w:p>
        </w:tc>
        <w:tc>
          <w:tcPr>
            <w:tcW w:w="2172"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三级指标</w:t>
            </w:r>
          </w:p>
        </w:tc>
        <w:tc>
          <w:tcPr>
            <w:tcW w:w="1857"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预期指标值</w:t>
            </w:r>
          </w:p>
        </w:tc>
        <w:tc>
          <w:tcPr>
            <w:tcW w:w="1681"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实际完成值</w:t>
            </w:r>
          </w:p>
        </w:tc>
        <w:tc>
          <w:tcPr>
            <w:tcW w:w="94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自评得分</w:t>
            </w:r>
          </w:p>
        </w:tc>
      </w:tr>
      <w:tr>
        <w:tblPrEx>
          <w:tblCellMar>
            <w:top w:w="0" w:type="dxa"/>
            <w:left w:w="0" w:type="dxa"/>
            <w:bottom w:w="0" w:type="dxa"/>
            <w:right w:w="0" w:type="dxa"/>
          </w:tblCellMar>
        </w:tblPrEx>
        <w:trPr>
          <w:trHeight w:val="640" w:hRule="atLeast"/>
        </w:trPr>
        <w:tc>
          <w:tcPr>
            <w:tcW w:w="871"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83" w:type="dxa"/>
            <w:vMerge w:val="restart"/>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产出指标（40）</w:t>
            </w:r>
          </w:p>
        </w:tc>
        <w:tc>
          <w:tcPr>
            <w:tcW w:w="810"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数量指标</w:t>
            </w:r>
          </w:p>
        </w:tc>
        <w:tc>
          <w:tcPr>
            <w:tcW w:w="2172" w:type="dxa"/>
            <w:gridSpan w:val="2"/>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高邑县2019年度地下水超采综合治理农村生活用水置换项目，共一个项目。涉及5个乡镇，27个村，人口43445人。压采量为105万m3</w:t>
            </w:r>
          </w:p>
        </w:tc>
        <w:tc>
          <w:tcPr>
            <w:tcW w:w="1857"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高邑县2019年度地下水超采综合治理农村生活用水置换项目，共一个项目。涉及5个乡镇，27个村，人口43445人。压采量为105万m3</w:t>
            </w:r>
          </w:p>
        </w:tc>
        <w:tc>
          <w:tcPr>
            <w:tcW w:w="1681"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高邑县2019年度地下水超采综合治理农村生活用水置换项目，共一个项目。涉及5个乡镇，27个村，人口43445人。压采量为105万m3</w:t>
            </w:r>
          </w:p>
        </w:tc>
        <w:tc>
          <w:tcPr>
            <w:tcW w:w="946"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10</w:t>
            </w:r>
          </w:p>
        </w:tc>
      </w:tr>
      <w:tr>
        <w:tblPrEx>
          <w:tblCellMar>
            <w:top w:w="0" w:type="dxa"/>
            <w:left w:w="0" w:type="dxa"/>
            <w:bottom w:w="0" w:type="dxa"/>
            <w:right w:w="0" w:type="dxa"/>
          </w:tblCellMar>
        </w:tblPrEx>
        <w:trPr>
          <w:trHeight w:val="270" w:hRule="atLeast"/>
        </w:trPr>
        <w:tc>
          <w:tcPr>
            <w:tcW w:w="871"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83" w:type="dxa"/>
            <w:vMerge w:val="continue"/>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1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172" w:type="dxa"/>
            <w:gridSpan w:val="2"/>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857"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681"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46"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160" w:hRule="atLeast"/>
        </w:trPr>
        <w:tc>
          <w:tcPr>
            <w:tcW w:w="871"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83" w:type="dxa"/>
            <w:vMerge w:val="continue"/>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1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172" w:type="dxa"/>
            <w:gridSpan w:val="2"/>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857"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681"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46"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270" w:hRule="atLeast"/>
        </w:trPr>
        <w:tc>
          <w:tcPr>
            <w:tcW w:w="871"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83" w:type="dxa"/>
            <w:vMerge w:val="continue"/>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10"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质量指标</w:t>
            </w:r>
          </w:p>
        </w:tc>
        <w:tc>
          <w:tcPr>
            <w:tcW w:w="2172" w:type="dxa"/>
            <w:gridSpan w:val="2"/>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项目由高邑县地下水超采综合治理项目建设处负责组织实施，我们坚持建管并重，建立健全工程质量保证、安全管理和监督体系，强化质量监督，严把质量和安全关，确保工程质量、安全和进度。</w:t>
            </w:r>
          </w:p>
        </w:tc>
        <w:tc>
          <w:tcPr>
            <w:tcW w:w="1857" w:type="dxa"/>
            <w:vMerge w:val="restart"/>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项目由高邑县地下水超采综合治理项目建设处负责组织实施，我们坚持建管并重，建立健全工程质量保证、安全管理和监督体系，强化质量监督，严把质量和安全关，确保工程质量、安全和进度。</w:t>
            </w:r>
          </w:p>
        </w:tc>
        <w:tc>
          <w:tcPr>
            <w:tcW w:w="1681" w:type="dxa"/>
            <w:vMerge w:val="restart"/>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项目由高邑县地下水超采综合治理项目建设处负责组织实施，我们坚持建管并重，建立健全工程质量保证、安全管理和监督体系，强化质量监督，严把质量和安全关，确保工程质量、安全和进度。</w:t>
            </w:r>
          </w:p>
        </w:tc>
        <w:tc>
          <w:tcPr>
            <w:tcW w:w="946"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bdr w:val="none" w:color="auto" w:sz="0" w:space="0"/>
                <w:lang w:val="en-US" w:eastAsia="zh-CN" w:bidi="ar"/>
              </w:rPr>
              <w:t>10</w:t>
            </w:r>
          </w:p>
        </w:tc>
      </w:tr>
      <w:tr>
        <w:tblPrEx>
          <w:tblCellMar>
            <w:top w:w="0" w:type="dxa"/>
            <w:left w:w="0" w:type="dxa"/>
            <w:bottom w:w="0" w:type="dxa"/>
            <w:right w:w="0" w:type="dxa"/>
          </w:tblCellMar>
        </w:tblPrEx>
        <w:trPr>
          <w:trHeight w:val="270" w:hRule="atLeast"/>
        </w:trPr>
        <w:tc>
          <w:tcPr>
            <w:tcW w:w="871"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83" w:type="dxa"/>
            <w:vMerge w:val="continue"/>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1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172" w:type="dxa"/>
            <w:gridSpan w:val="2"/>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857"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681"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46"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CellMar>
            <w:top w:w="0" w:type="dxa"/>
            <w:left w:w="0" w:type="dxa"/>
            <w:bottom w:w="0" w:type="dxa"/>
            <w:right w:w="0" w:type="dxa"/>
          </w:tblCellMar>
        </w:tblPrEx>
        <w:trPr>
          <w:trHeight w:val="1060" w:hRule="atLeast"/>
        </w:trPr>
        <w:tc>
          <w:tcPr>
            <w:tcW w:w="871"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83" w:type="dxa"/>
            <w:vMerge w:val="continue"/>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1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172" w:type="dxa"/>
            <w:gridSpan w:val="2"/>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857"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681"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46"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CellMar>
            <w:top w:w="0" w:type="dxa"/>
            <w:left w:w="0" w:type="dxa"/>
            <w:bottom w:w="0" w:type="dxa"/>
            <w:right w:w="0" w:type="dxa"/>
          </w:tblCellMar>
        </w:tblPrEx>
        <w:trPr>
          <w:trHeight w:val="270" w:hRule="atLeast"/>
        </w:trPr>
        <w:tc>
          <w:tcPr>
            <w:tcW w:w="871"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83" w:type="dxa"/>
            <w:vMerge w:val="continue"/>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10"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时效指标</w:t>
            </w:r>
          </w:p>
        </w:tc>
        <w:tc>
          <w:tcPr>
            <w:tcW w:w="2172" w:type="dxa"/>
            <w:gridSpan w:val="2"/>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高邑县2019年度地下水超采综合治理农村生活用水置换项目已全部完工。</w:t>
            </w:r>
          </w:p>
        </w:tc>
        <w:tc>
          <w:tcPr>
            <w:tcW w:w="1857" w:type="dxa"/>
            <w:vMerge w:val="restart"/>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高邑县2019年度地下水超采综合治理农村生活用水置换项目已全部完工。</w:t>
            </w:r>
          </w:p>
        </w:tc>
        <w:tc>
          <w:tcPr>
            <w:tcW w:w="1681" w:type="dxa"/>
            <w:vMerge w:val="restart"/>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高邑县2019年度地下水超采综合治理农村生活用水置换项目已全部完工。</w:t>
            </w:r>
          </w:p>
        </w:tc>
        <w:tc>
          <w:tcPr>
            <w:tcW w:w="946"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bdr w:val="none" w:color="auto" w:sz="0" w:space="0"/>
                <w:lang w:val="en-US" w:eastAsia="zh-CN" w:bidi="ar"/>
              </w:rPr>
              <w:t>10</w:t>
            </w:r>
          </w:p>
        </w:tc>
      </w:tr>
      <w:tr>
        <w:tblPrEx>
          <w:tblCellMar>
            <w:top w:w="0" w:type="dxa"/>
            <w:left w:w="0" w:type="dxa"/>
            <w:bottom w:w="0" w:type="dxa"/>
            <w:right w:w="0" w:type="dxa"/>
          </w:tblCellMar>
        </w:tblPrEx>
        <w:trPr>
          <w:trHeight w:val="270" w:hRule="atLeast"/>
        </w:trPr>
        <w:tc>
          <w:tcPr>
            <w:tcW w:w="871"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83" w:type="dxa"/>
            <w:vMerge w:val="continue"/>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1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172" w:type="dxa"/>
            <w:gridSpan w:val="2"/>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857"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681"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46"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CellMar>
            <w:top w:w="0" w:type="dxa"/>
            <w:left w:w="0" w:type="dxa"/>
            <w:bottom w:w="0" w:type="dxa"/>
            <w:right w:w="0" w:type="dxa"/>
          </w:tblCellMar>
        </w:tblPrEx>
        <w:trPr>
          <w:trHeight w:val="60" w:hRule="atLeast"/>
        </w:trPr>
        <w:tc>
          <w:tcPr>
            <w:tcW w:w="871"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83" w:type="dxa"/>
            <w:vMerge w:val="continue"/>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1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172" w:type="dxa"/>
            <w:gridSpan w:val="2"/>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857"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681"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46"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CellMar>
            <w:top w:w="0" w:type="dxa"/>
            <w:left w:w="0" w:type="dxa"/>
            <w:bottom w:w="0" w:type="dxa"/>
            <w:right w:w="0" w:type="dxa"/>
          </w:tblCellMar>
        </w:tblPrEx>
        <w:trPr>
          <w:trHeight w:val="270" w:hRule="atLeast"/>
        </w:trPr>
        <w:tc>
          <w:tcPr>
            <w:tcW w:w="871"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83" w:type="dxa"/>
            <w:vMerge w:val="continue"/>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10"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成本指标</w:t>
            </w:r>
          </w:p>
        </w:tc>
        <w:tc>
          <w:tcPr>
            <w:tcW w:w="2172" w:type="dxa"/>
            <w:gridSpan w:val="2"/>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对项目实施的成本（预算）严格控制,无超出概算</w:t>
            </w:r>
          </w:p>
        </w:tc>
        <w:tc>
          <w:tcPr>
            <w:tcW w:w="1857" w:type="dxa"/>
            <w:vMerge w:val="restart"/>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对项目实施的成本（预算）严格控制,无超出概算</w:t>
            </w:r>
          </w:p>
        </w:tc>
        <w:tc>
          <w:tcPr>
            <w:tcW w:w="1681" w:type="dxa"/>
            <w:vMerge w:val="restart"/>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对项目实施的成本（预算）严格控制,无超出概算</w:t>
            </w:r>
          </w:p>
        </w:tc>
        <w:tc>
          <w:tcPr>
            <w:tcW w:w="946"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bdr w:val="none" w:color="auto" w:sz="0" w:space="0"/>
                <w:lang w:val="en-US" w:eastAsia="zh-CN" w:bidi="ar"/>
              </w:rPr>
              <w:t>9</w:t>
            </w:r>
          </w:p>
        </w:tc>
      </w:tr>
      <w:tr>
        <w:tblPrEx>
          <w:tblCellMar>
            <w:top w:w="0" w:type="dxa"/>
            <w:left w:w="0" w:type="dxa"/>
            <w:bottom w:w="0" w:type="dxa"/>
            <w:right w:w="0" w:type="dxa"/>
          </w:tblCellMar>
        </w:tblPrEx>
        <w:trPr>
          <w:trHeight w:val="180" w:hRule="atLeast"/>
        </w:trPr>
        <w:tc>
          <w:tcPr>
            <w:tcW w:w="871"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83" w:type="dxa"/>
            <w:vMerge w:val="continue"/>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1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172" w:type="dxa"/>
            <w:gridSpan w:val="2"/>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857"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681"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46"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CellMar>
            <w:top w:w="0" w:type="dxa"/>
            <w:left w:w="0" w:type="dxa"/>
            <w:bottom w:w="0" w:type="dxa"/>
            <w:right w:w="0" w:type="dxa"/>
          </w:tblCellMar>
        </w:tblPrEx>
        <w:trPr>
          <w:trHeight w:val="60" w:hRule="atLeast"/>
        </w:trPr>
        <w:tc>
          <w:tcPr>
            <w:tcW w:w="871"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83" w:type="dxa"/>
            <w:vMerge w:val="continue"/>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1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172" w:type="dxa"/>
            <w:gridSpan w:val="2"/>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857"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681"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46"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CellMar>
            <w:top w:w="0" w:type="dxa"/>
            <w:left w:w="0" w:type="dxa"/>
            <w:bottom w:w="0" w:type="dxa"/>
            <w:right w:w="0" w:type="dxa"/>
          </w:tblCellMar>
        </w:tblPrEx>
        <w:trPr>
          <w:trHeight w:val="640" w:hRule="atLeast"/>
        </w:trPr>
        <w:tc>
          <w:tcPr>
            <w:tcW w:w="871"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83"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预算执行率指标</w:t>
            </w:r>
            <w:r>
              <w:rPr>
                <w:rFonts w:hint="eastAsia" w:ascii="宋体" w:hAnsi="宋体" w:eastAsia="宋体" w:cs="宋体"/>
                <w:i w:val="0"/>
                <w:color w:val="000000"/>
                <w:kern w:val="0"/>
                <w:sz w:val="16"/>
                <w:szCs w:val="16"/>
                <w:u w:val="none"/>
                <w:bdr w:val="none" w:color="auto" w:sz="0" w:space="0"/>
                <w:lang w:val="en-US" w:eastAsia="zh-CN" w:bidi="ar"/>
              </w:rPr>
              <w:br w:type="textWrapping"/>
            </w:r>
            <w:r>
              <w:rPr>
                <w:rFonts w:hint="eastAsia" w:ascii="宋体" w:hAnsi="宋体" w:eastAsia="宋体" w:cs="宋体"/>
                <w:i w:val="0"/>
                <w:color w:val="000000"/>
                <w:kern w:val="0"/>
                <w:sz w:val="16"/>
                <w:szCs w:val="16"/>
                <w:u w:val="none"/>
                <w:bdr w:val="none" w:color="auto" w:sz="0" w:space="0"/>
                <w:lang w:val="en-US" w:eastAsia="zh-CN" w:bidi="ar"/>
              </w:rPr>
              <w:t>（10分）</w:t>
            </w:r>
          </w:p>
        </w:tc>
        <w:tc>
          <w:tcPr>
            <w:tcW w:w="810" w:type="dxa"/>
            <w:tcBorders>
              <w:top w:val="nil"/>
              <w:left w:val="nil"/>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预算执行率</w:t>
            </w:r>
          </w:p>
        </w:tc>
        <w:tc>
          <w:tcPr>
            <w:tcW w:w="2172"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70%</w:t>
            </w:r>
          </w:p>
        </w:tc>
        <w:tc>
          <w:tcPr>
            <w:tcW w:w="1857"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bdr w:val="none" w:color="auto" w:sz="0" w:space="0"/>
                <w:lang w:val="en-US" w:eastAsia="zh-CN" w:bidi="ar"/>
              </w:rPr>
              <w:t>70%</w:t>
            </w:r>
          </w:p>
        </w:tc>
        <w:tc>
          <w:tcPr>
            <w:tcW w:w="1681"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bdr w:val="none" w:color="auto" w:sz="0" w:space="0"/>
                <w:lang w:val="en-US" w:eastAsia="zh-CN" w:bidi="ar"/>
              </w:rPr>
              <w:t>72%</w:t>
            </w:r>
          </w:p>
        </w:tc>
        <w:tc>
          <w:tcPr>
            <w:tcW w:w="94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bdr w:val="none" w:color="auto" w:sz="0" w:space="0"/>
                <w:lang w:val="en-US" w:eastAsia="zh-CN" w:bidi="ar"/>
              </w:rPr>
              <w:t>7</w:t>
            </w:r>
          </w:p>
        </w:tc>
      </w:tr>
      <w:tr>
        <w:tblPrEx>
          <w:tblCellMar>
            <w:top w:w="0" w:type="dxa"/>
            <w:left w:w="0" w:type="dxa"/>
            <w:bottom w:w="0" w:type="dxa"/>
            <w:right w:w="0" w:type="dxa"/>
          </w:tblCellMar>
        </w:tblPrEx>
        <w:trPr>
          <w:trHeight w:val="270" w:hRule="atLeast"/>
        </w:trPr>
        <w:tc>
          <w:tcPr>
            <w:tcW w:w="871"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83" w:type="dxa"/>
            <w:vMerge w:val="restart"/>
            <w:tcBorders>
              <w:top w:val="nil"/>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效益指标（40）</w:t>
            </w:r>
          </w:p>
        </w:tc>
        <w:tc>
          <w:tcPr>
            <w:tcW w:w="810" w:type="dxa"/>
            <w:vMerge w:val="restart"/>
            <w:tcBorders>
              <w:top w:val="single" w:color="000000" w:sz="4" w:space="0"/>
              <w:left w:val="nil"/>
              <w:bottom w:val="single" w:color="000000" w:sz="4" w:space="0"/>
              <w:right w:val="nil"/>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经济效益指标</w:t>
            </w:r>
          </w:p>
        </w:tc>
        <w:tc>
          <w:tcPr>
            <w:tcW w:w="2172" w:type="dxa"/>
            <w:gridSpan w:val="2"/>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可有效消纳引江水量</w:t>
            </w:r>
          </w:p>
        </w:tc>
        <w:tc>
          <w:tcPr>
            <w:tcW w:w="1857" w:type="dxa"/>
            <w:vMerge w:val="restart"/>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可有效消纳引江水量</w:t>
            </w:r>
          </w:p>
        </w:tc>
        <w:tc>
          <w:tcPr>
            <w:tcW w:w="1681" w:type="dxa"/>
            <w:vMerge w:val="restart"/>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可有效消纳引江水量</w:t>
            </w:r>
          </w:p>
        </w:tc>
        <w:tc>
          <w:tcPr>
            <w:tcW w:w="946"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bdr w:val="none" w:color="auto" w:sz="0" w:space="0"/>
                <w:lang w:val="en-US" w:eastAsia="zh-CN" w:bidi="ar"/>
              </w:rPr>
              <w:t>8</w:t>
            </w:r>
          </w:p>
        </w:tc>
      </w:tr>
      <w:tr>
        <w:tblPrEx>
          <w:tblCellMar>
            <w:top w:w="0" w:type="dxa"/>
            <w:left w:w="0" w:type="dxa"/>
            <w:bottom w:w="0" w:type="dxa"/>
            <w:right w:w="0" w:type="dxa"/>
          </w:tblCellMar>
        </w:tblPrEx>
        <w:trPr>
          <w:trHeight w:val="270" w:hRule="atLeast"/>
        </w:trPr>
        <w:tc>
          <w:tcPr>
            <w:tcW w:w="871"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83" w:type="dxa"/>
            <w:vMerge w:val="continue"/>
            <w:tcBorders>
              <w:top w:val="nil"/>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10" w:type="dxa"/>
            <w:vMerge w:val="continue"/>
            <w:tcBorders>
              <w:top w:val="single" w:color="000000" w:sz="4" w:space="0"/>
              <w:left w:val="nil"/>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172" w:type="dxa"/>
            <w:gridSpan w:val="2"/>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857"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681"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46"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CellMar>
            <w:top w:w="0" w:type="dxa"/>
            <w:left w:w="0" w:type="dxa"/>
            <w:bottom w:w="0" w:type="dxa"/>
            <w:right w:w="0" w:type="dxa"/>
          </w:tblCellMar>
        </w:tblPrEx>
        <w:trPr>
          <w:trHeight w:val="270" w:hRule="atLeast"/>
        </w:trPr>
        <w:tc>
          <w:tcPr>
            <w:tcW w:w="871"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83" w:type="dxa"/>
            <w:vMerge w:val="continue"/>
            <w:tcBorders>
              <w:top w:val="nil"/>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10" w:type="dxa"/>
            <w:vMerge w:val="continue"/>
            <w:tcBorders>
              <w:top w:val="single" w:color="000000" w:sz="4" w:space="0"/>
              <w:left w:val="nil"/>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172" w:type="dxa"/>
            <w:gridSpan w:val="2"/>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857"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681"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46"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CellMar>
            <w:top w:w="0" w:type="dxa"/>
            <w:left w:w="0" w:type="dxa"/>
            <w:bottom w:w="0" w:type="dxa"/>
            <w:right w:w="0" w:type="dxa"/>
          </w:tblCellMar>
        </w:tblPrEx>
        <w:trPr>
          <w:trHeight w:val="270" w:hRule="atLeast"/>
        </w:trPr>
        <w:tc>
          <w:tcPr>
            <w:tcW w:w="871"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83" w:type="dxa"/>
            <w:vMerge w:val="continue"/>
            <w:tcBorders>
              <w:top w:val="nil"/>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10" w:type="dxa"/>
            <w:vMerge w:val="restart"/>
            <w:tcBorders>
              <w:top w:val="single" w:color="000000" w:sz="4" w:space="0"/>
              <w:left w:val="nil"/>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社会效益指标</w:t>
            </w:r>
          </w:p>
        </w:tc>
        <w:tc>
          <w:tcPr>
            <w:tcW w:w="2172" w:type="dxa"/>
            <w:gridSpan w:val="2"/>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本工程受益范围涉及5个乡镇，27个村，人口43445人。</w:t>
            </w:r>
          </w:p>
        </w:tc>
        <w:tc>
          <w:tcPr>
            <w:tcW w:w="1857" w:type="dxa"/>
            <w:vMerge w:val="restart"/>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本工程受益范围涉及5个乡镇，27个村，人口43445人。</w:t>
            </w:r>
          </w:p>
        </w:tc>
        <w:tc>
          <w:tcPr>
            <w:tcW w:w="1681" w:type="dxa"/>
            <w:vMerge w:val="restart"/>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本工程受益范围涉及5个乡镇，27个村，人口43445人。</w:t>
            </w:r>
          </w:p>
        </w:tc>
        <w:tc>
          <w:tcPr>
            <w:tcW w:w="946"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bdr w:val="none" w:color="auto" w:sz="0" w:space="0"/>
                <w:lang w:val="en-US" w:eastAsia="zh-CN" w:bidi="ar"/>
              </w:rPr>
              <w:t>10</w:t>
            </w:r>
          </w:p>
        </w:tc>
      </w:tr>
      <w:tr>
        <w:tblPrEx>
          <w:tblCellMar>
            <w:top w:w="0" w:type="dxa"/>
            <w:left w:w="0" w:type="dxa"/>
            <w:bottom w:w="0" w:type="dxa"/>
            <w:right w:w="0" w:type="dxa"/>
          </w:tblCellMar>
        </w:tblPrEx>
        <w:trPr>
          <w:trHeight w:val="270" w:hRule="atLeast"/>
        </w:trPr>
        <w:tc>
          <w:tcPr>
            <w:tcW w:w="871"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83" w:type="dxa"/>
            <w:vMerge w:val="continue"/>
            <w:tcBorders>
              <w:top w:val="nil"/>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10" w:type="dxa"/>
            <w:vMerge w:val="continue"/>
            <w:tcBorders>
              <w:top w:val="single" w:color="000000" w:sz="4" w:space="0"/>
              <w:left w:val="nil"/>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172" w:type="dxa"/>
            <w:gridSpan w:val="2"/>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857"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681"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46"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CellMar>
            <w:top w:w="0" w:type="dxa"/>
            <w:left w:w="0" w:type="dxa"/>
            <w:bottom w:w="0" w:type="dxa"/>
            <w:right w:w="0" w:type="dxa"/>
          </w:tblCellMar>
        </w:tblPrEx>
        <w:trPr>
          <w:trHeight w:val="270" w:hRule="atLeast"/>
        </w:trPr>
        <w:tc>
          <w:tcPr>
            <w:tcW w:w="871"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83" w:type="dxa"/>
            <w:vMerge w:val="continue"/>
            <w:tcBorders>
              <w:top w:val="nil"/>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10" w:type="dxa"/>
            <w:vMerge w:val="continue"/>
            <w:tcBorders>
              <w:top w:val="single" w:color="000000" w:sz="4" w:space="0"/>
              <w:left w:val="nil"/>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172" w:type="dxa"/>
            <w:gridSpan w:val="2"/>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857"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681"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46"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CellMar>
            <w:top w:w="0" w:type="dxa"/>
            <w:left w:w="0" w:type="dxa"/>
            <w:bottom w:w="0" w:type="dxa"/>
            <w:right w:w="0" w:type="dxa"/>
          </w:tblCellMar>
        </w:tblPrEx>
        <w:trPr>
          <w:trHeight w:val="270" w:hRule="atLeast"/>
        </w:trPr>
        <w:tc>
          <w:tcPr>
            <w:tcW w:w="871"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83" w:type="dxa"/>
            <w:vMerge w:val="continue"/>
            <w:tcBorders>
              <w:top w:val="nil"/>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10" w:type="dxa"/>
            <w:vMerge w:val="restart"/>
            <w:tcBorders>
              <w:top w:val="single" w:color="000000" w:sz="4" w:space="0"/>
              <w:left w:val="nil"/>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生态效益指标</w:t>
            </w:r>
          </w:p>
        </w:tc>
        <w:tc>
          <w:tcPr>
            <w:tcW w:w="2172" w:type="dxa"/>
            <w:gridSpan w:val="2"/>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本工程实施后地下水压采量为105万m3</w:t>
            </w:r>
          </w:p>
        </w:tc>
        <w:tc>
          <w:tcPr>
            <w:tcW w:w="1857" w:type="dxa"/>
            <w:vMerge w:val="restart"/>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本工程实施后地下水压采量为105万m3</w:t>
            </w:r>
          </w:p>
        </w:tc>
        <w:tc>
          <w:tcPr>
            <w:tcW w:w="1681" w:type="dxa"/>
            <w:vMerge w:val="restart"/>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本工程实施后地下水压采量为105万m3</w:t>
            </w:r>
          </w:p>
        </w:tc>
        <w:tc>
          <w:tcPr>
            <w:tcW w:w="946"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bdr w:val="none" w:color="auto" w:sz="0" w:space="0"/>
                <w:lang w:val="en-US" w:eastAsia="zh-CN" w:bidi="ar"/>
              </w:rPr>
              <w:t>9</w:t>
            </w:r>
          </w:p>
        </w:tc>
      </w:tr>
      <w:tr>
        <w:tblPrEx>
          <w:tblCellMar>
            <w:top w:w="0" w:type="dxa"/>
            <w:left w:w="0" w:type="dxa"/>
            <w:bottom w:w="0" w:type="dxa"/>
            <w:right w:w="0" w:type="dxa"/>
          </w:tblCellMar>
        </w:tblPrEx>
        <w:trPr>
          <w:trHeight w:val="270" w:hRule="atLeast"/>
        </w:trPr>
        <w:tc>
          <w:tcPr>
            <w:tcW w:w="871"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83" w:type="dxa"/>
            <w:vMerge w:val="continue"/>
            <w:tcBorders>
              <w:top w:val="nil"/>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10" w:type="dxa"/>
            <w:vMerge w:val="continue"/>
            <w:tcBorders>
              <w:top w:val="single" w:color="000000" w:sz="4" w:space="0"/>
              <w:left w:val="nil"/>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172" w:type="dxa"/>
            <w:gridSpan w:val="2"/>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857"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681"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46"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CellMar>
            <w:top w:w="0" w:type="dxa"/>
            <w:left w:w="0" w:type="dxa"/>
            <w:bottom w:w="0" w:type="dxa"/>
            <w:right w:w="0" w:type="dxa"/>
          </w:tblCellMar>
        </w:tblPrEx>
        <w:trPr>
          <w:trHeight w:val="270" w:hRule="atLeast"/>
        </w:trPr>
        <w:tc>
          <w:tcPr>
            <w:tcW w:w="871"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83" w:type="dxa"/>
            <w:vMerge w:val="continue"/>
            <w:tcBorders>
              <w:top w:val="nil"/>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10" w:type="dxa"/>
            <w:vMerge w:val="continue"/>
            <w:tcBorders>
              <w:top w:val="single" w:color="000000" w:sz="4" w:space="0"/>
              <w:left w:val="nil"/>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172" w:type="dxa"/>
            <w:gridSpan w:val="2"/>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857"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681"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46"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CellMar>
            <w:top w:w="0" w:type="dxa"/>
            <w:left w:w="0" w:type="dxa"/>
            <w:bottom w:w="0" w:type="dxa"/>
            <w:right w:w="0" w:type="dxa"/>
          </w:tblCellMar>
        </w:tblPrEx>
        <w:trPr>
          <w:trHeight w:val="270" w:hRule="atLeast"/>
        </w:trPr>
        <w:tc>
          <w:tcPr>
            <w:tcW w:w="871"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83" w:type="dxa"/>
            <w:vMerge w:val="continue"/>
            <w:tcBorders>
              <w:top w:val="nil"/>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10" w:type="dxa"/>
            <w:vMerge w:val="restart"/>
            <w:tcBorders>
              <w:top w:val="single" w:color="000000" w:sz="4" w:space="0"/>
              <w:left w:val="nil"/>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可持续影响指标</w:t>
            </w:r>
          </w:p>
        </w:tc>
        <w:tc>
          <w:tcPr>
            <w:tcW w:w="2172" w:type="dxa"/>
            <w:gridSpan w:val="2"/>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可有效压减地下水可开采量</w:t>
            </w:r>
          </w:p>
        </w:tc>
        <w:tc>
          <w:tcPr>
            <w:tcW w:w="1857" w:type="dxa"/>
            <w:vMerge w:val="restart"/>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可有效压减地下水可开采量</w:t>
            </w:r>
          </w:p>
        </w:tc>
        <w:tc>
          <w:tcPr>
            <w:tcW w:w="1681" w:type="dxa"/>
            <w:vMerge w:val="restart"/>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可有效压减地下水可开采量</w:t>
            </w:r>
          </w:p>
        </w:tc>
        <w:tc>
          <w:tcPr>
            <w:tcW w:w="946"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bdr w:val="none" w:color="auto" w:sz="0" w:space="0"/>
                <w:lang w:val="en-US" w:eastAsia="zh-CN" w:bidi="ar"/>
              </w:rPr>
              <w:t>10</w:t>
            </w:r>
          </w:p>
        </w:tc>
      </w:tr>
      <w:tr>
        <w:tblPrEx>
          <w:tblCellMar>
            <w:top w:w="0" w:type="dxa"/>
            <w:left w:w="0" w:type="dxa"/>
            <w:bottom w:w="0" w:type="dxa"/>
            <w:right w:w="0" w:type="dxa"/>
          </w:tblCellMar>
        </w:tblPrEx>
        <w:trPr>
          <w:trHeight w:val="270" w:hRule="atLeast"/>
        </w:trPr>
        <w:tc>
          <w:tcPr>
            <w:tcW w:w="871"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83" w:type="dxa"/>
            <w:vMerge w:val="continue"/>
            <w:tcBorders>
              <w:top w:val="nil"/>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10" w:type="dxa"/>
            <w:vMerge w:val="continue"/>
            <w:tcBorders>
              <w:top w:val="single" w:color="000000" w:sz="4" w:space="0"/>
              <w:left w:val="nil"/>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172" w:type="dxa"/>
            <w:gridSpan w:val="2"/>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857"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681"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46"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CellMar>
            <w:top w:w="0" w:type="dxa"/>
            <w:left w:w="0" w:type="dxa"/>
            <w:bottom w:w="0" w:type="dxa"/>
            <w:right w:w="0" w:type="dxa"/>
          </w:tblCellMar>
        </w:tblPrEx>
        <w:trPr>
          <w:trHeight w:val="240" w:hRule="atLeast"/>
        </w:trPr>
        <w:tc>
          <w:tcPr>
            <w:tcW w:w="871"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83" w:type="dxa"/>
            <w:vMerge w:val="continue"/>
            <w:tcBorders>
              <w:top w:val="nil"/>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10" w:type="dxa"/>
            <w:vMerge w:val="continue"/>
            <w:tcBorders>
              <w:top w:val="single" w:color="000000" w:sz="4" w:space="0"/>
              <w:left w:val="nil"/>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172" w:type="dxa"/>
            <w:gridSpan w:val="2"/>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857"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681"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46"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CellMar>
            <w:top w:w="0" w:type="dxa"/>
            <w:left w:w="0" w:type="dxa"/>
            <w:bottom w:w="0" w:type="dxa"/>
            <w:right w:w="0" w:type="dxa"/>
          </w:tblCellMar>
        </w:tblPrEx>
        <w:trPr>
          <w:trHeight w:val="270" w:hRule="atLeast"/>
        </w:trPr>
        <w:tc>
          <w:tcPr>
            <w:tcW w:w="871"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83"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满意度指标</w:t>
            </w:r>
            <w:r>
              <w:rPr>
                <w:rFonts w:hint="eastAsia" w:ascii="宋体" w:hAnsi="宋体" w:eastAsia="宋体" w:cs="宋体"/>
                <w:i w:val="0"/>
                <w:color w:val="000000"/>
                <w:kern w:val="0"/>
                <w:sz w:val="16"/>
                <w:szCs w:val="16"/>
                <w:u w:val="none"/>
                <w:bdr w:val="none" w:color="auto" w:sz="0" w:space="0"/>
                <w:lang w:val="en-US" w:eastAsia="zh-CN" w:bidi="ar"/>
              </w:rPr>
              <w:br w:type="textWrapping"/>
            </w:r>
            <w:r>
              <w:rPr>
                <w:rFonts w:hint="eastAsia" w:ascii="宋体" w:hAnsi="宋体" w:eastAsia="宋体" w:cs="宋体"/>
                <w:i w:val="0"/>
                <w:color w:val="000000"/>
                <w:kern w:val="0"/>
                <w:sz w:val="16"/>
                <w:szCs w:val="16"/>
                <w:u w:val="none"/>
                <w:bdr w:val="none" w:color="auto" w:sz="0" w:space="0"/>
                <w:lang w:val="en-US" w:eastAsia="zh-CN" w:bidi="ar"/>
              </w:rPr>
              <w:t>（10分）</w:t>
            </w:r>
          </w:p>
        </w:tc>
        <w:tc>
          <w:tcPr>
            <w:tcW w:w="810" w:type="dxa"/>
            <w:vMerge w:val="restart"/>
            <w:tcBorders>
              <w:top w:val="single" w:color="000000" w:sz="4" w:space="0"/>
              <w:left w:val="nil"/>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满意度指标</w:t>
            </w:r>
          </w:p>
        </w:tc>
        <w:tc>
          <w:tcPr>
            <w:tcW w:w="2172" w:type="dxa"/>
            <w:gridSpan w:val="2"/>
            <w:vMerge w:val="restart"/>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满意</w:t>
            </w:r>
          </w:p>
        </w:tc>
        <w:tc>
          <w:tcPr>
            <w:tcW w:w="1857" w:type="dxa"/>
            <w:vMerge w:val="restart"/>
            <w:tcBorders>
              <w:top w:val="single" w:color="000000" w:sz="4" w:space="0"/>
              <w:left w:val="single" w:color="000000" w:sz="4" w:space="0"/>
              <w:bottom w:val="nil"/>
              <w:right w:val="nil"/>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满意</w:t>
            </w:r>
          </w:p>
        </w:tc>
        <w:tc>
          <w:tcPr>
            <w:tcW w:w="1681" w:type="dxa"/>
            <w:vMerge w:val="restart"/>
            <w:tcBorders>
              <w:top w:val="single" w:color="000000" w:sz="4" w:space="0"/>
              <w:left w:val="single" w:color="000000" w:sz="4" w:space="0"/>
              <w:bottom w:val="nil"/>
              <w:right w:val="nil"/>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满意</w:t>
            </w:r>
          </w:p>
        </w:tc>
        <w:tc>
          <w:tcPr>
            <w:tcW w:w="946" w:type="dxa"/>
            <w:vMerge w:val="restart"/>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bdr w:val="none" w:color="auto" w:sz="0" w:space="0"/>
                <w:lang w:val="en-US" w:eastAsia="zh-CN" w:bidi="ar"/>
              </w:rPr>
              <w:t>9</w:t>
            </w:r>
          </w:p>
        </w:tc>
      </w:tr>
      <w:tr>
        <w:tblPrEx>
          <w:tblCellMar>
            <w:top w:w="0" w:type="dxa"/>
            <w:left w:w="0" w:type="dxa"/>
            <w:bottom w:w="0" w:type="dxa"/>
            <w:right w:w="0" w:type="dxa"/>
          </w:tblCellMar>
        </w:tblPrEx>
        <w:trPr>
          <w:trHeight w:val="270" w:hRule="atLeast"/>
        </w:trPr>
        <w:tc>
          <w:tcPr>
            <w:tcW w:w="871"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83"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10" w:type="dxa"/>
            <w:vMerge w:val="continue"/>
            <w:tcBorders>
              <w:top w:val="single" w:color="000000" w:sz="4" w:space="0"/>
              <w:left w:val="nil"/>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172" w:type="dxa"/>
            <w:gridSpan w:val="2"/>
            <w:vMerge w:val="continue"/>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857" w:type="dxa"/>
            <w:vMerge w:val="continue"/>
            <w:tcBorders>
              <w:top w:val="single" w:color="000000" w:sz="4" w:space="0"/>
              <w:left w:val="single" w:color="000000" w:sz="4" w:space="0"/>
              <w:bottom w:val="nil"/>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681" w:type="dxa"/>
            <w:vMerge w:val="continue"/>
            <w:tcBorders>
              <w:top w:val="single" w:color="000000" w:sz="4" w:space="0"/>
              <w:left w:val="single" w:color="000000" w:sz="4" w:space="0"/>
              <w:bottom w:val="nil"/>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46" w:type="dxa"/>
            <w:vMerge w:val="continue"/>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CellMar>
            <w:top w:w="0" w:type="dxa"/>
            <w:left w:w="0" w:type="dxa"/>
            <w:bottom w:w="0" w:type="dxa"/>
            <w:right w:w="0" w:type="dxa"/>
          </w:tblCellMar>
        </w:tblPrEx>
        <w:trPr>
          <w:trHeight w:val="270" w:hRule="atLeast"/>
        </w:trPr>
        <w:tc>
          <w:tcPr>
            <w:tcW w:w="871"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83"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10" w:type="dxa"/>
            <w:vMerge w:val="continue"/>
            <w:tcBorders>
              <w:top w:val="single" w:color="000000" w:sz="4" w:space="0"/>
              <w:left w:val="nil"/>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172" w:type="dxa"/>
            <w:gridSpan w:val="2"/>
            <w:vMerge w:val="continue"/>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857" w:type="dxa"/>
            <w:vMerge w:val="continue"/>
            <w:tcBorders>
              <w:top w:val="single" w:color="000000" w:sz="4" w:space="0"/>
              <w:left w:val="single" w:color="000000" w:sz="4" w:space="0"/>
              <w:bottom w:val="nil"/>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681" w:type="dxa"/>
            <w:vMerge w:val="continue"/>
            <w:tcBorders>
              <w:top w:val="single" w:color="000000" w:sz="4" w:space="0"/>
              <w:left w:val="single" w:color="000000" w:sz="4" w:space="0"/>
              <w:bottom w:val="nil"/>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46" w:type="dxa"/>
            <w:vMerge w:val="continue"/>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CellMar>
            <w:top w:w="0" w:type="dxa"/>
            <w:left w:w="0" w:type="dxa"/>
            <w:bottom w:w="0" w:type="dxa"/>
            <w:right w:w="0" w:type="dxa"/>
          </w:tblCellMar>
        </w:tblPrEx>
        <w:trPr>
          <w:trHeight w:val="285" w:hRule="atLeast"/>
        </w:trPr>
        <w:tc>
          <w:tcPr>
            <w:tcW w:w="871"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403" w:type="dxa"/>
            <w:gridSpan w:val="6"/>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总分</w:t>
            </w:r>
          </w:p>
        </w:tc>
        <w:tc>
          <w:tcPr>
            <w:tcW w:w="94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bdr w:val="none" w:color="auto" w:sz="0" w:space="0"/>
                <w:lang w:val="en-US" w:eastAsia="zh-CN" w:bidi="ar"/>
              </w:rPr>
              <w:t>92</w:t>
            </w:r>
          </w:p>
        </w:tc>
      </w:tr>
      <w:tr>
        <w:tblPrEx>
          <w:tblCellMar>
            <w:top w:w="0" w:type="dxa"/>
            <w:left w:w="0" w:type="dxa"/>
            <w:bottom w:w="0" w:type="dxa"/>
            <w:right w:w="0" w:type="dxa"/>
          </w:tblCellMar>
        </w:tblPrEx>
        <w:trPr>
          <w:trHeight w:val="660" w:hRule="atLeast"/>
        </w:trPr>
        <w:tc>
          <w:tcPr>
            <w:tcW w:w="871" w:type="dxa"/>
            <w:tcBorders>
              <w:top w:val="nil"/>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五、</w:t>
            </w:r>
            <w:r>
              <w:rPr>
                <w:rStyle w:val="14"/>
                <w:rFonts w:eastAsia="宋体"/>
                <w:bdr w:val="none" w:color="auto" w:sz="0" w:space="0"/>
                <w:lang w:val="en-US" w:eastAsia="zh-CN" w:bidi="ar"/>
              </w:rPr>
              <w:t xml:space="preserve"> </w:t>
            </w:r>
            <w:r>
              <w:rPr>
                <w:rStyle w:val="13"/>
                <w:bdr w:val="none" w:color="auto" w:sz="0" w:space="0"/>
                <w:lang w:val="en-US" w:eastAsia="zh-CN" w:bidi="ar"/>
              </w:rPr>
              <w:t>存在问题、原因及下一步整改措施</w:t>
            </w:r>
          </w:p>
        </w:tc>
        <w:tc>
          <w:tcPr>
            <w:tcW w:w="8349" w:type="dxa"/>
            <w:gridSpan w:val="7"/>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由于受冬季环保治理和疫情影响，造成了工程进度不能按时完成，造成竣工时间延迟。建议：为便于建设工作，建立完善的收费制度，切实执行收费标准，避免送出去水，收不上费的现象。</w:t>
            </w:r>
          </w:p>
        </w:tc>
      </w:tr>
      <w:tr>
        <w:tblPrEx>
          <w:tblCellMar>
            <w:top w:w="0" w:type="dxa"/>
            <w:left w:w="0" w:type="dxa"/>
            <w:bottom w:w="0" w:type="dxa"/>
            <w:right w:w="0" w:type="dxa"/>
          </w:tblCellMar>
        </w:tblPrEx>
        <w:trPr>
          <w:trHeight w:val="270" w:hRule="atLeast"/>
        </w:trPr>
        <w:tc>
          <w:tcPr>
            <w:tcW w:w="0" w:type="auto"/>
            <w:tcBorders>
              <w:top w:val="nil"/>
              <w:left w:val="nil"/>
              <w:bottom w:val="nil"/>
              <w:right w:val="nil"/>
            </w:tcBorders>
            <w:shd w:val="clear"/>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填报人：</w:t>
            </w:r>
          </w:p>
        </w:tc>
        <w:tc>
          <w:tcPr>
            <w:tcW w:w="0" w:type="auto"/>
            <w:tcBorders>
              <w:top w:val="nil"/>
              <w:left w:val="nil"/>
              <w:bottom w:val="nil"/>
              <w:right w:val="nil"/>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郭丽丽</w:t>
            </w:r>
          </w:p>
        </w:tc>
        <w:tc>
          <w:tcPr>
            <w:tcW w:w="0" w:type="auto"/>
            <w:tcBorders>
              <w:top w:val="nil"/>
              <w:left w:val="nil"/>
              <w:bottom w:val="nil"/>
              <w:right w:val="nil"/>
            </w:tcBorders>
            <w:shd w:val="clear"/>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联系电话：84031307</w:t>
            </w:r>
          </w:p>
        </w:tc>
        <w:tc>
          <w:tcPr>
            <w:tcW w:w="0" w:type="auto"/>
            <w:tcBorders>
              <w:top w:val="nil"/>
              <w:left w:val="nil"/>
              <w:bottom w:val="nil"/>
              <w:right w:val="nil"/>
            </w:tcBorders>
            <w:shd w:val="clear"/>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bl>
    <w:p>
      <w:pPr>
        <w:numPr>
          <w:ilvl w:val="0"/>
          <w:numId w:val="0"/>
        </w:numPr>
        <w:adjustRightInd w:val="0"/>
        <w:snapToGrid w:val="0"/>
        <w:spacing w:line="580" w:lineRule="exact"/>
        <w:ind w:firstLine="640" w:firstLineChars="200"/>
        <w:rPr>
          <w:rFonts w:hint="eastAsia" w:ascii="仿宋" w:hAnsi="仿宋" w:eastAsia="仿宋" w:cs="仿宋"/>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本部门2019年度机关运行经费支出41.428775万元。比2018年度增加</w:t>
      </w:r>
      <w:r>
        <w:rPr>
          <w:rFonts w:hint="eastAsia" w:ascii="仿宋_GB2312" w:hAnsi="Times New Roman" w:eastAsia="仿宋_GB2312" w:cs="DengXian-Regular"/>
          <w:sz w:val="32"/>
          <w:szCs w:val="32"/>
          <w:lang w:val="en-US" w:eastAsia="zh-CN"/>
        </w:rPr>
        <w:t>41.428775</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val="en-US" w:eastAsia="zh-CN"/>
        </w:rPr>
        <w:t>机构改革，单位性质变更</w:t>
      </w:r>
      <w:r>
        <w:rPr>
          <w:rFonts w:hint="eastAsia" w:ascii="仿宋_GB2312" w:hAnsi="Times New Roman" w:eastAsia="仿宋_GB2312" w:cs="DengXian-Regular"/>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 万元、政府采购工程支出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万元、政府采购服务支出 </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万元，占政府采购支出总额的 </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截至2019年12月31日，本部门共有车辆8辆，比上年增加</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辆，主要是</w:t>
      </w:r>
      <w:r>
        <w:rPr>
          <w:rFonts w:hint="eastAsia" w:ascii="仿宋_GB2312" w:hAnsi="Times New Roman" w:eastAsia="仿宋_GB2312" w:cs="DengXian-Regular"/>
          <w:sz w:val="32"/>
          <w:szCs w:val="32"/>
          <w:lang w:val="en-US" w:eastAsia="zh-CN"/>
        </w:rPr>
        <w:t>机构合并，广源水厂、开源水厂并入水务集团，购置车辆2辆</w:t>
      </w:r>
      <w:r>
        <w:rPr>
          <w:rFonts w:hint="eastAsia" w:ascii="仿宋_GB2312" w:hAnsi="Times New Roman" w:eastAsia="仿宋_GB2312" w:cs="DengXian-Regular"/>
          <w:sz w:val="32"/>
          <w:szCs w:val="32"/>
        </w:rPr>
        <w:t>。其中，副部（省）级及以上领导用车0辆，主要领导干部用车0辆，机要通信用车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辆，应急保障用车1辆，执法执勤用车</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辆，特种专业技术用车0辆，离退休干部用车0辆，其他用</w:t>
      </w:r>
      <w:r>
        <w:rPr>
          <w:rFonts w:hint="eastAsia" w:ascii="仿宋_GB2312" w:hAnsi="Times New Roman" w:eastAsia="仿宋_GB2312" w:cs="DengXian-Regular"/>
          <w:sz w:val="32"/>
          <w:szCs w:val="32"/>
          <w:lang w:val="en-US" w:eastAsia="zh-CN"/>
        </w:rPr>
        <w:t>车6</w:t>
      </w:r>
      <w:r>
        <w:rPr>
          <w:rFonts w:hint="eastAsia" w:ascii="仿宋_GB2312" w:hAnsi="Times New Roman" w:eastAsia="仿宋_GB2312" w:cs="DengXian-Regular"/>
          <w:sz w:val="32"/>
          <w:szCs w:val="32"/>
        </w:rPr>
        <w:t>车辆，其他用车主要是业务用车；</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r>
        <w:rPr>
          <w:rFonts w:hint="eastAsia" w:ascii="仿宋_GB2312" w:hAnsi="Times New Roman" w:eastAsia="仿宋_GB2312" w:cs="DengXian-Regular"/>
          <w:sz w:val="32"/>
          <w:szCs w:val="32"/>
          <w:lang w:val="en-US" w:eastAsia="zh-CN"/>
        </w:rPr>
        <w:t>与上年相比持平</w:t>
      </w:r>
      <w:r>
        <w:rPr>
          <w:rFonts w:hint="eastAsia" w:ascii="仿宋_GB2312" w:hAnsi="Times New Roman" w:eastAsia="仿宋_GB2312" w:cs="DengXian-Regular"/>
          <w:sz w:val="32"/>
          <w:szCs w:val="32"/>
        </w:rPr>
        <w:t xml:space="preserve"> ，单位价值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val="en-US" w:eastAsia="zh-CN"/>
        </w:rPr>
        <w:t>与上年相比持平</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仿宋_GB2312" w:hAnsi="Times New Roman" w:eastAsia="仿宋_GB2312" w:cs="DengXian-Regular"/>
          <w:sz w:val="32"/>
          <w:szCs w:val="32"/>
        </w:rPr>
      </w:pP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w:t>
      </w:r>
      <w:r>
        <w:rPr>
          <w:rFonts w:hint="eastAsia" w:ascii="仿宋_GB2312" w:eastAsia="仿宋_GB2312" w:cs="DengXian-Regular"/>
          <w:sz w:val="32"/>
          <w:szCs w:val="32"/>
          <w:lang w:val="en-US" w:eastAsia="zh-CN"/>
        </w:rPr>
        <w:t>9</w:t>
      </w:r>
      <w:r>
        <w:rPr>
          <w:rFonts w:hint="eastAsia" w:ascii="仿宋_GB2312" w:eastAsia="仿宋_GB2312" w:cs="DengXian-Regular"/>
          <w:sz w:val="32"/>
          <w:szCs w:val="32"/>
        </w:rPr>
        <w:t>年度国有资本经营预算财政拨款无收支及结转结余情况，故国有资本经营预算财政拨款支出</w:t>
      </w:r>
      <w:r>
        <w:rPr>
          <w:rFonts w:hint="eastAsia" w:ascii="仿宋_GB2312" w:eastAsia="仿宋_GB2312" w:cs="DengXian-Regular"/>
          <w:sz w:val="32"/>
          <w:szCs w:val="32"/>
          <w:lang w:val="en-US" w:eastAsia="zh-CN"/>
        </w:rPr>
        <w:t>决算</w:t>
      </w:r>
      <w:r>
        <w:rPr>
          <w:rFonts w:hint="eastAsia" w:ascii="仿宋_GB2312" w:eastAsia="仿宋_GB2312" w:cs="DengXian-Regular"/>
          <w:sz w:val="32"/>
          <w:szCs w:val="32"/>
        </w:rPr>
        <w:t>表以空表列示。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15" w:type="first"/>
          <w:footerReference r:id="rId17" w:type="first"/>
          <w:headerReference r:id="rId14" w:type="default"/>
          <w:footerReference r:id="rId16"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w:pict>
          <v:shape id="_x0000_s1028" o:spid="_x0000_s1028" o:spt="202" type="#_x0000_t202" style="position:absolute;left:0pt;margin-left:-80.45pt;margin-top:34.8pt;height:263.1pt;width:613.65pt;z-index:251681792;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hub7J9sAAAAMAQAADwAAAAAAAAABACAAAAAiAAAAZHJzL2Rvd25yZXYueG1sUEsBAhQAFAAAAAgA&#10;h07iQGQ/W79bAgAAugQAAA4AAAAAAAAAAQAgAAAAKgEAAGRycy9lMm9Eb2MueG1sUEsFBgAAAAAG&#10;AAYAWQEAAPcFAAAAAA==&#10;">
            <v:path/>
            <v:fill type="pattern" on="t" color2="#FFFFFF" focussize="0,0"/>
            <v:stroke weight="0.5pt" color="#FFD966" joinstyle="round"/>
            <v:imagedata o:title=""/>
            <o:lock v:ext="edit"/>
            <v:textbox>
              <w:txbxContent>
                <w:p>
                  <w:pPr>
                    <w:widowControl/>
                    <w:jc w:val="center"/>
                  </w:pPr>
                  <w:r>
                    <w:rPr>
                      <w:rFonts w:hint="eastAsia" w:ascii="黑体" w:hAnsi="黑体" w:eastAsia="黑体" w:cs="黑体"/>
                      <w:color w:val="000000" w:themeColor="text1"/>
                      <w:sz w:val="90"/>
                      <w:szCs w:val="90"/>
                    </w:rPr>
                    <w:t>第三部分 相关名词解释</w:t>
                  </w:r>
                </w:p>
              </w:txbxContent>
            </v:textbox>
          </v:shape>
        </w:pict>
      </w:r>
    </w:p>
    <w:p/>
    <w:p/>
    <w:p/>
    <w:p/>
    <w:p/>
    <w:p/>
    <w:p/>
    <w:p/>
    <w:p/>
    <w:p/>
    <w:p/>
    <w:p>
      <w:pPr>
        <w:tabs>
          <w:tab w:val="left" w:pos="886"/>
        </w:tabs>
        <w:jc w:val="left"/>
        <w:sectPr>
          <w:headerReference r:id="rId18"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19"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20" w:type="default"/>
          <w:pgSz w:w="11906" w:h="16838"/>
          <w:pgMar w:top="2098" w:right="1474" w:bottom="1985" w:left="1588" w:header="851" w:footer="992" w:gutter="0"/>
          <w:pgNumType w:fmt="numberInDash"/>
          <w:cols w:space="425" w:num="1"/>
          <w:docGrid w:type="lines" w:linePitch="312" w:charSpace="0"/>
        </w:sectPr>
      </w:pPr>
      <w:r>
        <w:rPr>
          <w:sz w:val="72"/>
        </w:rPr>
        <w:pict>
          <v:shape id="文本框 229" o:spid="_x0000_s1064" o:spt="202" type="#_x0000_t202" style="position:absolute;left:0pt;margin-left:-82.05pt;margin-top:111.85pt;height:263.1pt;width:613.65pt;z-index:251696128;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v:path/>
            <v:fill type="pattern" on="t" color2="#FFFFFF" o:title="5%" focussize="0,0" r:id="rId29"/>
            <v:stroke weight="0.5pt" color="#FFD966" joinstyle="round"/>
            <v:imagedata o:title=""/>
            <o:lock v:ext="edit" aspectratio="f"/>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第四部分 </w:t>
                  </w:r>
                </w:p>
                <w:p>
                  <w:pPr>
                    <w:widowControl/>
                    <w:jc w:val="center"/>
                  </w:pPr>
                  <w:r>
                    <w:rPr>
                      <w:rFonts w:hint="eastAsia" w:ascii="黑体" w:hAnsi="黑体" w:eastAsia="黑体" w:cs="黑体"/>
                      <w:color w:val="000000" w:themeColor="text1"/>
                      <w:sz w:val="90"/>
                      <w:szCs w:val="90"/>
                    </w:rPr>
                    <w:t>2019年度部门决算报表</w:t>
                  </w:r>
                </w:p>
              </w:txbxContent>
            </v:textbox>
          </v:shape>
        </w:pict>
      </w:r>
    </w:p>
    <w:p>
      <w:pPr>
        <w:pStyle w:val="3"/>
        <w:spacing w:before="0" w:after="0" w:line="580" w:lineRule="exact"/>
        <w:ind w:firstLine="640" w:firstLineChars="200"/>
        <w:rPr>
          <w:rFonts w:hint="eastAsia" w:ascii="黑体" w:eastAsia="黑体"/>
          <w:b w:val="0"/>
          <w:bCs w:val="0"/>
          <w:lang w:val="en-US" w:eastAsia="zh-CN"/>
        </w:rPr>
      </w:pPr>
      <w:r>
        <w:rPr>
          <w:rFonts w:hint="eastAsia" w:ascii="黑体" w:eastAsia="黑体"/>
          <w:b w:val="0"/>
          <w:bCs w:val="0"/>
          <w:lang w:val="en-US" w:eastAsia="zh-CN"/>
        </w:rPr>
        <w:t>本部门应公开9张决算表格，即：</w:t>
      </w:r>
    </w:p>
    <w:p>
      <w:pPr>
        <w:widowControl/>
        <w:numPr>
          <w:ilvl w:val="0"/>
          <w:numId w:val="5"/>
        </w:numPr>
        <w:spacing w:line="580" w:lineRule="exact"/>
        <w:ind w:left="0" w:leftChars="0" w:firstLine="640" w:firstLineChars="200"/>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rPr>
        <w:t>收入支出决算总表</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公开01表</w:t>
      </w:r>
      <w:r>
        <w:rPr>
          <w:rFonts w:hint="eastAsia" w:ascii="Times New Roman" w:hAnsi="Times New Roman" w:eastAsia="仿宋_GB2312" w:cs="Times New Roman"/>
          <w:sz w:val="32"/>
          <w:szCs w:val="32"/>
          <w:lang w:eastAsia="zh-CN"/>
        </w:rPr>
        <w:t>）</w:t>
      </w:r>
    </w:p>
    <w:p>
      <w:pPr>
        <w:widowControl/>
        <w:numPr>
          <w:ilvl w:val="0"/>
          <w:numId w:val="5"/>
        </w:numPr>
        <w:spacing w:line="580" w:lineRule="exact"/>
        <w:ind w:left="0" w:leftChars="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收入决算表</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公开0</w:t>
      </w:r>
      <w:r>
        <w:rPr>
          <w:rFonts w:hint="eastAsia" w:eastAsia="仿宋_GB2312" w:cs="Times New Roman"/>
          <w:sz w:val="32"/>
          <w:szCs w:val="32"/>
          <w:lang w:val="en-US" w:eastAsia="zh-CN"/>
        </w:rPr>
        <w:t>2</w:t>
      </w:r>
      <w:r>
        <w:rPr>
          <w:rFonts w:hint="eastAsia" w:ascii="Times New Roman" w:hAnsi="Times New Roman" w:eastAsia="仿宋_GB2312" w:cs="Times New Roman"/>
          <w:sz w:val="32"/>
          <w:szCs w:val="32"/>
          <w:lang w:val="en-US" w:eastAsia="zh-CN"/>
        </w:rPr>
        <w:t>表</w:t>
      </w:r>
      <w:r>
        <w:rPr>
          <w:rFonts w:hint="eastAsia" w:ascii="Times New Roman" w:hAnsi="Times New Roman" w:eastAsia="仿宋_GB2312" w:cs="Times New Roman"/>
          <w:sz w:val="32"/>
          <w:szCs w:val="32"/>
          <w:lang w:eastAsia="zh-CN"/>
        </w:rPr>
        <w:t>）</w:t>
      </w:r>
    </w:p>
    <w:p>
      <w:pPr>
        <w:widowControl/>
        <w:numPr>
          <w:ilvl w:val="0"/>
          <w:numId w:val="5"/>
        </w:numPr>
        <w:spacing w:line="580" w:lineRule="exact"/>
        <w:ind w:left="0" w:leftChars="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支出决算表</w:t>
      </w:r>
      <w:r>
        <w:rPr>
          <w:rFonts w:hint="eastAsia" w:ascii="仿宋_GB2312" w:eastAsia="仿宋_GB2312" w:cs="DengXian-Regular"/>
          <w:sz w:val="32"/>
          <w:szCs w:val="32"/>
          <w:lang w:eastAsia="zh-CN"/>
        </w:rPr>
        <w:t>（</w:t>
      </w:r>
      <w:r>
        <w:rPr>
          <w:rFonts w:hint="eastAsia" w:ascii="仿宋_GB2312" w:eastAsia="仿宋_GB2312" w:cs="DengXian-Regular"/>
          <w:sz w:val="32"/>
          <w:szCs w:val="32"/>
          <w:lang w:val="en-US" w:eastAsia="zh-CN"/>
        </w:rPr>
        <w:t>公开03表</w:t>
      </w:r>
      <w:r>
        <w:rPr>
          <w:rFonts w:hint="eastAsia" w:ascii="仿宋_GB2312" w:eastAsia="仿宋_GB2312" w:cs="DengXian-Regular"/>
          <w:sz w:val="32"/>
          <w:szCs w:val="32"/>
          <w:lang w:eastAsia="zh-CN"/>
        </w:rPr>
        <w:t>）</w:t>
      </w:r>
    </w:p>
    <w:p>
      <w:pPr>
        <w:widowControl/>
        <w:numPr>
          <w:ilvl w:val="0"/>
          <w:numId w:val="5"/>
        </w:numPr>
        <w:spacing w:line="580" w:lineRule="exact"/>
        <w:ind w:left="0" w:leftChars="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财政拨款收入支出决算总表</w:t>
      </w:r>
      <w:r>
        <w:rPr>
          <w:rFonts w:hint="eastAsia" w:ascii="仿宋_GB2312" w:eastAsia="仿宋_GB2312" w:cs="DengXian-Regular"/>
          <w:sz w:val="32"/>
          <w:szCs w:val="32"/>
          <w:lang w:eastAsia="zh-CN"/>
        </w:rPr>
        <w:t>（</w:t>
      </w:r>
      <w:r>
        <w:rPr>
          <w:rFonts w:hint="eastAsia" w:ascii="仿宋_GB2312" w:eastAsia="仿宋_GB2312" w:cs="DengXian-Regular"/>
          <w:sz w:val="32"/>
          <w:szCs w:val="32"/>
          <w:lang w:val="en-US" w:eastAsia="zh-CN"/>
        </w:rPr>
        <w:t>公开04表</w:t>
      </w:r>
      <w:r>
        <w:rPr>
          <w:rFonts w:hint="eastAsia" w:ascii="仿宋_GB2312" w:eastAsia="仿宋_GB2312" w:cs="DengXian-Regular"/>
          <w:sz w:val="32"/>
          <w:szCs w:val="32"/>
          <w:lang w:eastAsia="zh-CN"/>
        </w:rPr>
        <w:t>）</w:t>
      </w:r>
    </w:p>
    <w:p>
      <w:pPr>
        <w:widowControl/>
        <w:numPr>
          <w:ilvl w:val="0"/>
          <w:numId w:val="5"/>
        </w:numPr>
        <w:spacing w:line="580" w:lineRule="exact"/>
        <w:ind w:left="0" w:leftChars="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一般公共预算财政拨款支出决算表</w:t>
      </w:r>
      <w:r>
        <w:rPr>
          <w:rFonts w:hint="eastAsia" w:ascii="仿宋_GB2312" w:eastAsia="仿宋_GB2312" w:cs="DengXian-Regular"/>
          <w:sz w:val="32"/>
          <w:szCs w:val="32"/>
          <w:lang w:eastAsia="zh-CN"/>
        </w:rPr>
        <w:t>（</w:t>
      </w:r>
      <w:r>
        <w:rPr>
          <w:rFonts w:hint="eastAsia" w:ascii="仿宋_GB2312" w:eastAsia="仿宋_GB2312" w:cs="DengXian-Regular"/>
          <w:sz w:val="32"/>
          <w:szCs w:val="32"/>
          <w:lang w:val="en-US" w:eastAsia="zh-CN"/>
        </w:rPr>
        <w:t>公开05表</w:t>
      </w:r>
      <w:r>
        <w:rPr>
          <w:rFonts w:hint="eastAsia" w:ascii="仿宋_GB2312" w:eastAsia="仿宋_GB2312" w:cs="DengXian-Regular"/>
          <w:sz w:val="32"/>
          <w:szCs w:val="32"/>
          <w:lang w:eastAsia="zh-CN"/>
        </w:rPr>
        <w:t>）</w:t>
      </w:r>
    </w:p>
    <w:p>
      <w:pPr>
        <w:widowControl/>
        <w:numPr>
          <w:ilvl w:val="0"/>
          <w:numId w:val="5"/>
        </w:numPr>
        <w:spacing w:line="580" w:lineRule="exact"/>
        <w:ind w:left="0" w:leftChars="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一般公共预算财政拨款基本支出决算表</w:t>
      </w:r>
      <w:r>
        <w:rPr>
          <w:rFonts w:hint="eastAsia" w:ascii="仿宋_GB2312" w:eastAsia="仿宋_GB2312" w:cs="DengXian-Regular"/>
          <w:sz w:val="32"/>
          <w:szCs w:val="32"/>
          <w:lang w:eastAsia="zh-CN"/>
        </w:rPr>
        <w:t>（</w:t>
      </w:r>
      <w:r>
        <w:rPr>
          <w:rFonts w:hint="eastAsia" w:ascii="仿宋_GB2312" w:eastAsia="仿宋_GB2312" w:cs="DengXian-Regular"/>
          <w:sz w:val="32"/>
          <w:szCs w:val="32"/>
          <w:lang w:val="en-US" w:eastAsia="zh-CN"/>
        </w:rPr>
        <w:t>公开06表</w:t>
      </w:r>
      <w:r>
        <w:rPr>
          <w:rFonts w:hint="eastAsia" w:ascii="仿宋_GB2312" w:eastAsia="仿宋_GB2312" w:cs="DengXian-Regular"/>
          <w:sz w:val="32"/>
          <w:szCs w:val="32"/>
          <w:lang w:eastAsia="zh-CN"/>
        </w:rPr>
        <w:t>）</w:t>
      </w:r>
    </w:p>
    <w:p>
      <w:pPr>
        <w:widowControl/>
        <w:numPr>
          <w:ilvl w:val="0"/>
          <w:numId w:val="5"/>
        </w:numPr>
        <w:spacing w:line="580" w:lineRule="exact"/>
        <w:ind w:left="0" w:leftChars="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一般公共预算财政拨款“三公”经费支出决算表</w:t>
      </w:r>
      <w:r>
        <w:rPr>
          <w:rFonts w:hint="eastAsia" w:ascii="仿宋_GB2312" w:eastAsia="仿宋_GB2312" w:cs="DengXian-Regular"/>
          <w:sz w:val="32"/>
          <w:szCs w:val="32"/>
          <w:lang w:eastAsia="zh-CN"/>
        </w:rPr>
        <w:t>（</w:t>
      </w:r>
      <w:r>
        <w:rPr>
          <w:rFonts w:hint="eastAsia" w:ascii="仿宋_GB2312" w:eastAsia="仿宋_GB2312" w:cs="DengXian-Regular"/>
          <w:sz w:val="32"/>
          <w:szCs w:val="32"/>
          <w:lang w:val="en-US" w:eastAsia="zh-CN"/>
        </w:rPr>
        <w:t>公开07表</w:t>
      </w:r>
      <w:r>
        <w:rPr>
          <w:rFonts w:hint="eastAsia" w:ascii="仿宋_GB2312" w:eastAsia="仿宋_GB2312" w:cs="DengXian-Regular"/>
          <w:sz w:val="32"/>
          <w:szCs w:val="32"/>
          <w:lang w:eastAsia="zh-CN"/>
        </w:rPr>
        <w:t>）</w:t>
      </w:r>
    </w:p>
    <w:p>
      <w:pPr>
        <w:widowControl/>
        <w:numPr>
          <w:ilvl w:val="0"/>
          <w:numId w:val="5"/>
        </w:numPr>
        <w:spacing w:line="580" w:lineRule="exact"/>
        <w:ind w:left="0" w:leftChars="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政府性基金预算财政拨款收入支出决算表</w:t>
      </w:r>
      <w:r>
        <w:rPr>
          <w:rFonts w:hint="eastAsia" w:ascii="仿宋_GB2312" w:eastAsia="仿宋_GB2312" w:cs="DengXian-Regular"/>
          <w:sz w:val="32"/>
          <w:szCs w:val="32"/>
          <w:lang w:eastAsia="zh-CN"/>
        </w:rPr>
        <w:t>（</w:t>
      </w:r>
      <w:r>
        <w:rPr>
          <w:rFonts w:hint="eastAsia" w:ascii="仿宋_GB2312" w:eastAsia="仿宋_GB2312" w:cs="DengXian-Regular"/>
          <w:sz w:val="32"/>
          <w:szCs w:val="32"/>
          <w:lang w:val="en-US" w:eastAsia="zh-CN"/>
        </w:rPr>
        <w:t>公开08表</w:t>
      </w:r>
      <w:r>
        <w:rPr>
          <w:rFonts w:hint="eastAsia" w:ascii="仿宋_GB2312" w:eastAsia="仿宋_GB2312" w:cs="DengXian-Regular"/>
          <w:sz w:val="32"/>
          <w:szCs w:val="32"/>
          <w:lang w:eastAsia="zh-CN"/>
        </w:rPr>
        <w:t>）</w:t>
      </w:r>
    </w:p>
    <w:p>
      <w:pPr>
        <w:widowControl/>
        <w:numPr>
          <w:ilvl w:val="0"/>
          <w:numId w:val="5"/>
        </w:numPr>
        <w:spacing w:line="580" w:lineRule="exact"/>
        <w:ind w:left="0" w:leftChars="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国有资本经营预算财政拨款支出决算表</w:t>
      </w:r>
      <w:r>
        <w:rPr>
          <w:rFonts w:hint="eastAsia" w:ascii="仿宋_GB2312" w:eastAsia="仿宋_GB2312" w:cs="DengXian-Regular"/>
          <w:sz w:val="32"/>
          <w:szCs w:val="32"/>
          <w:lang w:eastAsia="zh-CN"/>
        </w:rPr>
        <w:t>（</w:t>
      </w:r>
      <w:r>
        <w:rPr>
          <w:rFonts w:hint="eastAsia" w:ascii="仿宋_GB2312" w:eastAsia="仿宋_GB2312" w:cs="DengXian-Regular"/>
          <w:sz w:val="32"/>
          <w:szCs w:val="32"/>
          <w:lang w:val="en-US" w:eastAsia="zh-CN"/>
        </w:rPr>
        <w:t>公开09表</w:t>
      </w:r>
      <w:r>
        <w:rPr>
          <w:rFonts w:hint="eastAsia" w:ascii="仿宋_GB2312" w:eastAsia="仿宋_GB2312" w:cs="DengXian-Regular"/>
          <w:sz w:val="32"/>
          <w:szCs w:val="32"/>
          <w:lang w:eastAsia="zh-CN"/>
        </w:rPr>
        <w:t>）</w:t>
      </w:r>
    </w:p>
    <w:p>
      <w:pPr>
        <w:widowControl/>
        <w:numPr>
          <w:ilvl w:val="0"/>
          <w:numId w:val="0"/>
        </w:numPr>
        <w:spacing w:line="580" w:lineRule="exact"/>
        <w:jc w:val="both"/>
        <w:rPr>
          <w:rFonts w:hint="eastAsia" w:ascii="仿宋_GB2312" w:eastAsia="仿宋_GB2312" w:cs="DengXian-Regular"/>
          <w:sz w:val="32"/>
          <w:szCs w:val="32"/>
          <w:lang w:eastAsia="zh-CN"/>
        </w:rPr>
      </w:pPr>
    </w:p>
    <w:p>
      <w:pPr>
        <w:widowControl/>
        <w:numPr>
          <w:ilvl w:val="0"/>
          <w:numId w:val="0"/>
        </w:numPr>
        <w:spacing w:line="580" w:lineRule="exact"/>
        <w:ind w:firstLine="640" w:firstLineChars="200"/>
        <w:jc w:val="both"/>
        <w:rPr>
          <w:rFonts w:hint="default" w:ascii="仿宋_GB2312" w:eastAsia="仿宋_GB2312" w:cs="DengXian-Regular"/>
          <w:sz w:val="32"/>
          <w:szCs w:val="32"/>
          <w:lang w:val="en-US" w:eastAsia="zh-CN"/>
        </w:rPr>
        <w:sectPr>
          <w:pgSz w:w="11906" w:h="16838"/>
          <w:pgMar w:top="2098" w:right="1474" w:bottom="1984" w:left="1588" w:header="851" w:footer="992" w:gutter="0"/>
          <w:cols w:space="0" w:num="1"/>
          <w:docGrid w:type="lines" w:linePitch="312" w:charSpace="0"/>
        </w:sectPr>
      </w:pPr>
      <w:r>
        <w:rPr>
          <w:rFonts w:hint="eastAsia" w:ascii="仿宋_GB2312" w:eastAsia="仿宋_GB2312" w:cs="DengXian-Regular"/>
          <w:sz w:val="32"/>
          <w:szCs w:val="32"/>
          <w:lang w:val="en-US" w:eastAsia="zh-CN"/>
        </w:rPr>
        <w:t>详见附表《高邑县水利局2019年度部门决算公开表》</w:t>
      </w:r>
    </w:p>
    <w:p>
      <w:r>
        <w:br w:type="page"/>
      </w:r>
    </w:p>
    <w:p>
      <w:r>
        <w:pict>
          <v:rect id="_x0000_s1027" o:spid="_x0000_s1027" o:spt="1" style="position:absolute;left:0pt;margin-left:-70.5pt;margin-top:-85.25pt;height:841.15pt;width:595.1pt;z-index:251682816;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CCby1/dAAAADwEAAA8AAAAAAAAAAQAgAAAAIgAAAGRycy9kb3ducmV2LnhtbFBLAQIUABQA&#10;AAAIAIdO4kAlmqUrXQIAAIwEAAAOAAAAAAAAAAEAIAAAACwBAABkcnMvZTJvRG9jLnhtbFBLBQYA&#10;AAAABgAGAFkBAAD7BQAAAAA=&#10;">
            <v:path/>
            <v:fill on="t" focussize="0,0"/>
            <v:stroke on="f" weight="1pt"/>
            <v:imagedata o:title=""/>
            <o:lock v:ext="edit"/>
            <v:textbox>
              <w:txbxContent>
                <w:p/>
              </w:txbxContent>
            </v:textbox>
          </v:rect>
        </w:pict>
      </w:r>
    </w:p>
    <w:sectPr>
      <w:headerReference r:id="rId22" w:type="first"/>
      <w:headerReference r:id="rId21" w:type="default"/>
      <w:footerReference r:id="rId23"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等线">
    <w:altName w:val="Arial Unicode MS"/>
    <w:panose1 w:val="02010600030101010101"/>
    <w:charset w:val="86"/>
    <w:family w:val="auto"/>
    <w:pitch w:val="default"/>
    <w:sig w:usb0="00000000" w:usb1="00000000" w:usb2="00000016" w:usb3="00000000" w:csb0="0004000F" w:csb1="00000000"/>
  </w:font>
  <w:font w:name="等线 Light">
    <w:altName w:val="宋体"/>
    <w:panose1 w:val="02010600030101010101"/>
    <w:charset w:val="86"/>
    <w:family w:val="auto"/>
    <w:pitch w:val="default"/>
    <w:sig w:usb0="00000000" w:usb1="00000000" w:usb2="00000016" w:usb3="00000000" w:csb0="0004000F" w:csb1="00000000"/>
  </w:font>
  <w:font w:name="仿宋_GB2312">
    <w:altName w:val="仿宋"/>
    <w:panose1 w:val="02010609030101010101"/>
    <w:charset w:val="86"/>
    <w:family w:val="modern"/>
    <w:pitch w:val="default"/>
    <w:sig w:usb0="00000000" w:usb1="00000000" w:usb2="00000000" w:usb3="00000000" w:csb0="00000000" w:csb1="00000000"/>
  </w:font>
  <w:font w:name="楷体_GB2312">
    <w:altName w:val="楷体"/>
    <w:panose1 w:val="02010609030101010101"/>
    <w:charset w:val="86"/>
    <w:family w:val="modern"/>
    <w:pitch w:val="default"/>
    <w:sig w:usb0="00000000" w:usb1="00000000" w:usb2="00000000" w:usb3="00000000" w:csb0="00000000" w:csb1="00000000"/>
  </w:font>
  <w:font w:name="Yu Gothic UI Semibold">
    <w:altName w:val="Meiryo UI"/>
    <w:panose1 w:val="020B0700000000000000"/>
    <w:charset w:val="80"/>
    <w:family w:val="swiss"/>
    <w:pitch w:val="default"/>
    <w:sig w:usb0="00000000" w:usb1="00000000"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2FF" w:usb1="400004FF" w:usb2="00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等线">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楷体">
    <w:panose1 w:val="02010609060101010101"/>
    <w:charset w:val="86"/>
    <w:family w:val="auto"/>
    <w:pitch w:val="default"/>
    <w:sig w:usb0="800002BF" w:usb1="38CF7CFA" w:usb2="00000016" w:usb3="00000000" w:csb0="00040001" w:csb1="00000000"/>
  </w:font>
  <w:font w:name="Meiryo UI">
    <w:panose1 w:val="020B0604030504040204"/>
    <w:charset w:val="80"/>
    <w:family w:val="auto"/>
    <w:pitch w:val="default"/>
    <w:sig w:usb0="E10102FF" w:usb1="EAC7FFFF" w:usb2="00010012" w:usb3="00000000" w:csb0="6002009F" w:csb1="DFD70000"/>
  </w:font>
  <w:font w:name="等线 Light">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方正小标宋_GBK">
    <w:altName w:val="Arial Unicode MS"/>
    <w:panose1 w:val="00000000000000000000"/>
    <w:charset w:val="00"/>
    <w:family w:val="auto"/>
    <w:pitch w:val="default"/>
    <w:sig w:usb0="00000000" w:usb1="00000000" w:usb2="00000000" w:usb3="00000000" w:csb0="00000000" w:csb1="00000000"/>
  </w:font>
  <w:font w:name="Malgun Gothic">
    <w:panose1 w:val="020B0503020000020004"/>
    <w:charset w:val="81"/>
    <w:family w:val="auto"/>
    <w:pitch w:val="default"/>
    <w:sig w:usb0="900002AF" w:usb1="01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92" o:spid="_x0000_s2092" o:spt="202" type="#_x0000_t202" style="position:absolute;left:0pt;margin-left:209.65pt;margin-top:-12.95pt;height:14.3pt;width:30.6pt;mso-position-horizontal-relative:margin;z-index:251669504;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D5RxP9kAAAAJAQAADwAAAAAA&#10;AAABACAAAAAiAAAAZHJzL2Rvd25yZXYueG1sUEsBAhQAFAAAAAgAh07iQJqxHzwSAgAABwQAAA4A&#10;AAAAAAAAAQAgAAAAKAEAAGRycy9lMm9Eb2MueG1sUEsFBgAAAAAGAAYAWQEAAKwFAAAAAA==&#10;">
          <v:path/>
          <v:fill on="f" focussize="0,0"/>
          <v:stroke on="f" weight="0.5pt" joinstyle="miter"/>
          <v:imagedata o:title=""/>
          <o:lock v:ext="edit"/>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- 9 -</w:t>
                </w:r>
                <w:r>
                  <w:rPr>
                    <w:rFonts w:ascii="Times New Roman" w:hAnsi="Times New Roman" w:cs="Times New Roman"/>
                    <w:sz w:val="24"/>
                    <w:szCs w:val="24"/>
                  </w:rP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100" o:spid="_x0000_s2100" o:spt="202" type="#_x0000_t202" style="position:absolute;left:0pt;margin-left:206.55pt;margin-top:-22.45pt;height:35.15pt;width:34pt;mso-position-horizontal-relative:margin;z-index:251670528;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hdXN+9kAAAAKAQAADwAA&#10;AAAAAAABACAAAAAiAAAAZHJzL2Rvd25yZXYueG1sUEsBAhQAFAAAAAgAh07iQHOC4vsVAgAABwQA&#10;AA4AAAAAAAAAAQAgAAAAKAEAAGRycy9lMm9Eb2MueG1sUEsFBgAAAAAGAAYAWQEAAK8FAAAAAA==&#10;">
          <v:path/>
          <v:fill on="f" focussize="0,0"/>
          <v:stroke on="f" weight="0.5pt" joinstyle="miter"/>
          <v:imagedata o:title=""/>
          <o:lock v:ext="edit"/>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- 10 -</w:t>
                </w:r>
                <w:r>
                  <w:rPr>
                    <w:rFonts w:ascii="Times New Roman" w:hAnsi="Times New Roman" w:cs="Times New Roman"/>
                    <w:sz w:val="24"/>
                    <w:szCs w:val="24"/>
                  </w:rPr>
                  <w:fldChar w:fldCharType="end"/>
                </w:r>
              </w:p>
            </w:txbxContent>
          </v:textbox>
        </v:shape>
      </w:pic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69" o:spid="_x0000_s2069" o:spt="202" type="#_x0000_t202" style="position:absolute;left:0pt;margin-left:209.15pt;margin-top:-6pt;height:18.7pt;width:144pt;mso-position-horizontal-relative:margin;mso-wrap-style:none;z-index:251671552;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MUm4yEwIAAAYEAAAO&#10;AAAAAAAAAAEAIAAAACgBAABkcnMvZTJvRG9jLnhtbFBLBQYAAAAABgAGAFkBAACtBQAAA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- 24 -</w:t>
                </w:r>
                <w:r>
                  <w:rPr>
                    <w:rFonts w:ascii="Times New Roman" w:hAnsi="Times New Roman" w:cs="Times New Roman"/>
                    <w:sz w:val="24"/>
                    <w:szCs w:val="24"/>
                  </w:rPr>
                  <w:fldChar w:fldCharType="end"/>
                </w:r>
              </w:p>
            </w:txbxContent>
          </v:textbox>
        </v:shape>
      </w:pic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77" o:spid="_x0000_s2077" o:spt="202" type="#_x0000_t202" style="position:absolute;left:0pt;margin-left:205.45pt;margin-top:-18.75pt;height:31.45pt;width:30.15pt;mso-position-horizontal-relative:margin;z-index:251672576;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vuKWjNoAAAAKAQAA&#10;DwAAAAAAAAABACAAAAAiAAAAZHJzL2Rvd25yZXYueG1sUEsBAhQAFAAAAAgAh07iQOCgBhwXAgAA&#10;CQQAAA4AAAAAAAAAAQAgAAAAKQEAAGRycy9lMm9Eb2MueG1sUEsFBgAAAAAGAAYAWQEAALIFAAAA&#10;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- 20 -</w:t>
                </w:r>
                <w:r>
                  <w:rPr>
                    <w:rFonts w:ascii="Times New Roman" w:hAnsi="Times New Roman" w:cs="Times New Roman"/>
                    <w:sz w:val="24"/>
                    <w:szCs w:val="24"/>
                  </w:rPr>
                  <w:fldChar w:fldCharType="end"/>
                </w:r>
              </w:p>
            </w:txbxContent>
          </v:textbox>
        </v:shape>
      </w:pic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49" o:spid="_x0000_s2049" o:spt="202" type="#_x0000_t202" style="position:absolute;left:0pt;margin-left:209.15pt;margin-top:-6pt;height:18.7pt;width:144pt;mso-position-horizontal-relative:margin;mso-wrap-style:none;z-index:251675648;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L9BGEwIAAAgEAAAO&#10;AAAAAAAAAAEAIAAAACgBAABkcnMvZTJvRG9jLnhtbFBLBQYAAAAABgAGAFkBAACtBQAAA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- 33 -</w:t>
                </w:r>
                <w:r>
                  <w:rPr>
                    <w:rFonts w:ascii="Times New Roman" w:hAnsi="Times New Roman" w:cs="Times New Roman"/>
                    <w:sz w:val="24"/>
                    <w:szCs w:val="24"/>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组合 76" o:spid="_x0000_s2121" o:spt="203" style="position:absolute;left:0pt;margin-top:29.75pt;height:32pt;width:157.5pt;mso-position-horizontal:left;mso-position-horizontal-relative:page;mso-position-vertical-relative:page;z-index:251687936;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o:lock v:ext="edit" aspectratio="f"/>
          <v:shape id="_x0000_s2119" o:spid="_x0000_s2119"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path/>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2120" o:spt="1" style="position:absolute;left:1337;top:1044;height:330;width:119;v-text-anchor:middle;" fillcolor="#000000"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path/>
            <v:fill on="t" focussize="0,0"/>
            <v:stroke on="f" weight="1pt" miterlimit="8" joinstyle="miter"/>
            <v:imagedata o:title=""/>
            <o:lock v:ext="edit" aspectratio="f"/>
          </v:rect>
        </v:group>
      </w:pict>
    </w:r>
    <w:r>
      <w:pict>
        <v:group id="组合 79" o:spid="_x0000_s2118" o:spt="203" style="position:absolute;left:0pt;margin-left:0pt;margin-top:0pt;height:58.95pt;width:596.5pt;mso-position-horizontal-relative:page;mso-position-vertical-relative:page;z-index:251686912;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o:lock v:ext="edit" aspectratio="f"/>
          <v:rect id="矩形 2" o:spid="_x0000_s2115" o:spt="1" style="position:absolute;left:881;top:1538;height:146;width:11925;v-text-anchor:middle;" fillcolor="#FFD966"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path/>
            <v:fill on="t" focussize="0,0"/>
            <v:stroke on="f" weight="1pt" miterlimit="8" joinstyle="miter"/>
            <v:imagedata o:title=""/>
            <o:lock v:ext="edit" aspectratio="f"/>
          </v:rect>
          <v:shape id="任意多边形 3" o:spid="_x0000_s2116" style="position:absolute;left:10177;top:686;height:862;width:2619;v-text-anchor:middle;" fillcolor="#000000"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2117" style="position:absolute;left:10467;top:505;height:1108;width:2345;v-text-anchor:middle;" fillcolor="#FFD966"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65" o:spid="_x0000_s2065" o:spt="203" style="position:absolute;left:0pt;margin-left:-2.15pt;margin-top:59pt;height:32.8pt;width:596.85pt;mso-position-horizontal-relative:page;mso-position-vertical-relative:page;z-index:251678720;mso-width-relative:page;mso-height-relative:page;" coordorigin="881,505" coordsize="11971,1179203"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GSfdz7aAAAACwEAAA8AAAAAAAAA&#10;AQAgAAAAIgAAAGRycy9kb3ducmV2LnhtbFBLAQIUABQAAAAIAIdO4kAkJxLL9AQAAKAUAAAOAAAA&#10;AAAAAAEAIAAAACkBAABkcnMvZTJvRG9jLnhtbFBLBQYAAAAABgAGAFkBAACPCAAAAAA=&#10;">
          <o:lock v:ext="edit"/>
          <v:rect id="矩形 2" o:spid="_x0000_s2068" o:spt="1" style="position:absolute;left:881;top:1538;height:146;width:11925;v-text-anchor:middle;" fillcolor="#FFD966"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path/>
            <v:fill on="t" focussize="0,0"/>
            <v:stroke on="f" weight="1pt"/>
            <v:imagedata o:title=""/>
            <o:lock v:ext="edit"/>
          </v:rect>
          <v:shape id="任意多边形 3" o:spid="_x0000_s2067" o:spt="100" style="position:absolute;left:10177;top:686;height:862;width:2619;v-text-anchor:middle;" fillcolor="#000000"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type="segments" o:connectlocs="595,1;2619,0;2619,862;0,862;595,1" o:connectangles="0,0,0,0,0"/>
            <v:fill on="t" focussize="0,0"/>
            <v:stroke on="f" weight="1pt" joinstyle="miter"/>
            <v:imagedata o:title=""/>
            <o:lock v:ext="edit"/>
          </v:shape>
          <v:shape id="任意多边形 4" o:spid="_x0000_s2066" o:spt="100" style="position:absolute;left:10467;top:505;height:1107;width:2385;v-text-anchor:middle;" fillcolor="#FFD966"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type="segments" o:connectlocs="608,0;2385,8;2385,1107;0,1107;608,0" o:connectangles="0,0,0,0,0"/>
            <v:fill on="t" focussize="0,0"/>
            <v:stroke on="f" weight="1pt" joinstyle="miter"/>
            <v:imagedata o:title=""/>
            <o:lock v:ext="edit"/>
          </v:shape>
        </v:group>
      </w:pict>
    </w:r>
    <w:r>
      <w:pict>
        <v:shape id="_x0000_s2064" o:spid="_x0000_s2064" o:spt="202" type="#_x0000_t202" style="position:absolute;left:0pt;margin-left:-84.1pt;margin-top:17.55pt;height:32.05pt;width:231pt;z-index:251679744;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A/&#10;oWcB2wAAAAoBAAAPAAAAAAAAAAEAIAAAACIAAABkcnMvZG93bnJldi54bWxQSwECFAAUAAAACACH&#10;TuJA5R8RdCECAAAZBAAADgAAAAAAAAABACAAAAAqAQAAZHJzL2Uyb0RvYy54bWxQSwUGAAAAAAYA&#10;BgBZAQAAvQUAAAAA&#10;">
          <v:path/>
          <v:fill on="f" focussize="0,0"/>
          <v:stroke on="f" weight="0.5pt" joinstyle="miter"/>
          <v:imagedata o:title=""/>
          <o:lock v:ext="edit"/>
          <v:textbo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53" o:spid="_x0000_s2053" o:spt="203" style="position:absolute;left:0pt;margin-left:2.5pt;margin-top:28.75pt;height:35.25pt;width:594.8pt;mso-position-horizontal-relative:page;mso-position-vertical-relative:page;z-index:251676672;mso-width-relative:page;mso-height-relative:page;" coordorigin="881,505" coordsize="11930,1179203"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o:lock v:ext="edit"/>
          <v:rect id="矩形 2" o:spid="_x0000_s2056" o:spt="1" style="position:absolute;left:881;top:1538;height:146;width:11925;v-text-anchor:middle;" fillcolor="#FFD966"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055" o:spt="100" style="position:absolute;left:10177;top:686;height:862;width:2619;v-text-anchor:middle;" fillcolor="#000000"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type="segments" o:connectlocs="595,1;2619,0;2619,862;0,862;595,1" o:connectangles="0,0,0,0,0"/>
            <v:fill on="t" focussize="0,0"/>
            <v:stroke on="f" weight="1pt" joinstyle="miter"/>
            <v:imagedata o:title=""/>
            <o:lock v:ext="edit"/>
          </v:shape>
          <v:shape id="任意多边形 4" o:spid="_x0000_s2054" o:spt="100" style="position:absolute;left:10467;top:505;height:1108;width:2345;v-text-anchor:middle;" fillcolor="#FFD966"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type="segments" o:connectlocs="598,0;2345,8;2345,1108;0,1108;598,0" o:connectangles="0,0,0,0,0"/>
            <v:fill on="t" focussize="0,0"/>
            <v:stroke on="f" weight="1pt" joinstyle="miter"/>
            <v:imagedata o:title=""/>
            <o:lock v:ext="edit"/>
          </v:shape>
        </v:group>
      </w:pict>
    </w:r>
    <w:r>
      <w:pict>
        <v:group id="_x0000_s2050" o:spid="_x0000_s2050" o:spt="203" style="position:absolute;left:0pt;margin-left:0pt;margin-top:29.75pt;height:32pt;width:280pt;mso-position-horizontal-relative:page;mso-position-vertical-relative:page;z-index:251677696;mso-width-relative:page;mso-height-relative:page;" coordorigin="1337,880" coordsize="3150,640203"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">
          <o:lock v:ext="edit"/>
          <v:shape id="_x0000_s2052" o:spid="_x0000_s2052"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2051" o:spt="1" style="position:absolute;left:1337;top:1044;height:330;width:119;v-text-anchor:middle;" fillcolor="#000000"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path/>
            <v:fill on="t" focussize="0,0"/>
            <v:stroke on="f" weight="1pt"/>
            <v:imagedata o:title=""/>
            <o:lock v:ext="edit"/>
          </v:rect>
        </v:group>
      </w:pic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60" o:spid="_x0000_s2060" o:spt="203" style="position:absolute;left:0pt;margin-left:0pt;margin-top:0pt;height:38.05pt;width:596.5pt;mso-position-horizontal-relative:page;mso-position-vertical-relative:page;z-index:251673600;mso-width-relative:page;mso-height-relative:page;mso-width-percent:1000;" coordorigin="881,505" coordsize="11930,1179203"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o:lock v:ext="edit"/>
          <v:rect id="矩形 2" o:spid="_x0000_s2063" o:spt="1" style="position:absolute;left:881;top:1538;height:146;width:11925;v-text-anchor:middle;" fillcolor="#FFD966"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062" o:spt="100" style="position:absolute;left:10177;top:686;height:862;width:2619;v-text-anchor:middle;" fillcolor="#000000"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type="segments" o:connectlocs="595,1;2619,0;2619,862;0,862;595,1" o:connectangles="0,0,0,0,0"/>
            <v:fill on="t" focussize="0,0"/>
            <v:stroke on="f" weight="1pt" joinstyle="miter"/>
            <v:imagedata o:title=""/>
            <o:lock v:ext="edit"/>
          </v:shape>
          <v:shape id="任意多边形 4" o:spid="_x0000_s2061" o:spt="100" style="position:absolute;left:10467;top:505;height:1108;width:2345;v-text-anchor:middle;" fillcolor="#FFD966"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type="segments" o:connectlocs="598,0;2345,8;2345,1108;0,1108;598,0" o:connectangles="0,0,0,0,0"/>
            <v:fill on="t" focussize="0,0"/>
            <v:stroke on="f" weight="1pt" joinstyle="miter"/>
            <v:imagedata o:title=""/>
            <o:lock v:ext="edit"/>
          </v:shape>
        </v:group>
      </w:pict>
    </w:r>
    <w:r>
      <w:pict>
        <v:group id="_x0000_s2057" o:spid="_x0000_s2057" o:spt="203" style="position:absolute;left:0pt;margin-top:29.75pt;height:32pt;width:254.25pt;mso-position-horizontal:left;mso-position-horizontal-relative:page;mso-position-vertical-relative:page;z-index:251674624;mso-width-relative:page;mso-height-relative:page;" coordorigin="1337,880" coordsize="3150,640203"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G1FZmJg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DwgED7XAAAABwEAAA8AAAAAAAAAAQAgAAAAIgAA&#10;AGRycy9kb3ducmV2LnhtbFBLAQIUABQAAAAIAIdO4kAG1FZmJgMAADUIAAAOAAAAAAAAAAEAIAAA&#10;ACYBAABkcnMvZTJvRG9jLnhtbFBLBQYAAAAABgAGAFkBAAC+BgAAAAA=&#10;">
          <o:lock v:ext="edit"/>
          <v:shape id="_x0000_s2059" o:spid="_x0000_s2059"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2058" o:spt="1" style="position:absolute;left:1337;top:1044;height:330;width:119;v-text-anchor:middle;" fillcolor="#000000"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path/>
            <v:fill on="t" focussize="0,0"/>
            <v:stroke on="f" weight="1pt"/>
            <v:imagedata o:title=""/>
            <o:lock v:ext="edit"/>
          </v:rect>
        </v:group>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96" o:spid="_x0000_s2096" o:spt="203" style="position:absolute;left:0pt;margin-left:0pt;margin-top:53.75pt;height:31.5pt;width:594.8pt;mso-position-horizontal-relative:page;mso-position-vertical-relative:page;z-index:251667456;mso-width-relative:page;mso-height-relative:page;" coordorigin="881,505" coordsize="11930,1179203"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o:lock v:ext="edit"/>
          <v:rect id="矩形 2" o:spid="_x0000_s2099" o:spt="1" style="position:absolute;left:881;top:1538;height:146;width:11925;v-text-anchor:middle;" fillcolor="#FFD966"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path/>
            <v:fill on="t" focussize="0,0"/>
            <v:stroke on="f" weight="1pt"/>
            <v:imagedata o:title=""/>
            <o:lock v:ext="edit"/>
          </v:rect>
          <v:shape id="任意多边形 3" o:spid="_x0000_s2098" o:spt="100" style="position:absolute;left:10177;top:686;height:862;width:2619;v-text-anchor:middle;" fillcolor="#000000"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type="segments" o:connectlocs="595,1;2619,0;2619,862;0,862;595,1" o:connectangles="0,0,0,0,0"/>
            <v:fill on="t" focussize="0,0"/>
            <v:stroke on="f" weight="1pt" joinstyle="miter"/>
            <v:imagedata o:title=""/>
            <o:lock v:ext="edit"/>
          </v:shape>
          <v:shape id="任意多边形 4" o:spid="_x0000_s2097" o:spt="100" style="position:absolute;left:10467;top:505;height:1108;width:2345;v-text-anchor:middle;" fillcolor="#FFD966"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type="segments" o:connectlocs="598,0;2345,8;2345,1108;0,1108;598,0" o:connectangles="0,0,0,0,0"/>
            <v:fill on="t" focussize="0,0"/>
            <v:stroke on="f" weight="1pt" joinstyle="miter"/>
            <v:imagedata o:title=""/>
            <o:lock v:ext="edit"/>
          </v:shape>
        </v:group>
      </w:pict>
    </w:r>
    <w:r>
      <w:pict>
        <v:group id="_x0000_s2093" o:spid="_x0000_s2093" o:spt="203" style="position:absolute;left:0pt;margin-left:-2.15pt;margin-top:47.15pt;height:32pt;width:235.7pt;mso-position-horizontal-relative:page;mso-position-vertical-relative:page;z-index:251668480;mso-width-relative:page;mso-height-relative:page;" coordorigin="1337,880" coordsize="3150,640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NFLiJHZAAAACQEAAA8AAAAAAAAAAQAgAAAAIgAA&#10;AGRycy9kb3ducmV2LnhtbFBLAQIUABQAAAAIAIdO4kBvzRQWJAMAADkIAAAOAAAAAAAAAAEAIAAA&#10;ACgBAABkcnMvZTJvRG9jLnhtbFBLBQYAAAAABgAGAFkBAAC+BgAAAAA=&#10;">
          <o:lock v:ext="edit"/>
          <v:shape id="_x0000_s2095" o:spid="_x0000_s2095"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2094" o:spt="1" style="position:absolute;left:1337;top:1044;height:330;width:119;v-text-anchor:middle;" fillcolor="#000000"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89" o:spid="_x0000_s2089" o:spt="203" style="position:absolute;left:0pt;margin-left:2.25pt;margin-top:45.75pt;height:32.05pt;width:239.85pt;mso-position-horizontal-relative:page;mso-position-vertical-relative:page;z-index:251661312;mso-width-relative:page;mso-height-relative:page;" coordorigin="1337,855" coordsize="3206,641203"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5InYDYAAAACAEAAA8AAAAAAAAAAQAg&#10;AAAAIgAAAGRycy9kb3ducmV2LnhtbFBLAQIUABQAAAAIAIdO4kD2MHVZKwMAADkIAAAOAAAAAAAA&#10;AAEAIAAAACcBAABkcnMvZTJvRG9jLnhtbFBLBQYAAAAABgAGAFkBAADEBgAAAAA=&#10;">
          <o:lock v:ext="edit"/>
          <v:shape id="_x0000_s2091" o:spid="_x0000_s2091"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2090" o:spt="1" style="position:absolute;left:1337;top:1044;height:330;width:119;v-text-anchor:middle;" fillcolor="#000000"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path/>
            <v:fill on="t" focussize="0,0"/>
            <v:stroke on="f" weight="1pt"/>
            <v:imagedata o:title=""/>
            <o:lock v:ext="edit"/>
          </v:rect>
        </v:group>
      </w:pict>
    </w:r>
    <w:r>
      <w:pict>
        <v:group id="_x0000_s2085" o:spid="_x0000_s2085" o:spt="203" style="position:absolute;left:0pt;margin-left:2.75pt;margin-top:46.95pt;height:32.8pt;width:596.85pt;mso-position-horizontal-relative:page;mso-position-vertical-relative:page;z-index:251660288;mso-width-relative:page;mso-height-relative:page;" coordorigin="881,505" coordsize="11971,1179203"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o:lock v:ext="edit"/>
          <v:rect id="矩形 2" o:spid="_x0000_s2088" o:spt="1" style="position:absolute;left:881;top:1538;height:146;width:11925;v-text-anchor:middle;" fillcolor="#FFD966"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path/>
            <v:fill on="t" focussize="0,0"/>
            <v:stroke on="f" weight="1pt"/>
            <v:imagedata o:title=""/>
            <o:lock v:ext="edit"/>
          </v:rect>
          <v:shape id="任意多边形 3" o:spid="_x0000_s2087" o:spt="100" style="position:absolute;left:10177;top:686;height:862;width:2619;v-text-anchor:middle;" fillcolor="#000000"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type="segments" o:connectlocs="595,1;2619,0;2619,862;0,862;595,1" o:connectangles="0,0,0,0,0"/>
            <v:fill on="t" focussize="0,0"/>
            <v:stroke on="f" weight="1pt" joinstyle="miter"/>
            <v:imagedata o:title=""/>
            <o:lock v:ext="edit"/>
          </v:shape>
          <v:shape id="任意多边形 4" o:spid="_x0000_s2086" o:spt="100" style="position:absolute;left:10467;top:505;height:1107;width:2385;v-text-anchor:middle;" fillcolor="#FFD966"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type="segments" o:connectlocs="608,0;2385,8;2385,1107;0,1107;608,0" o:connectangles="0,0,0,0,0"/>
            <v:fill on="t" focussize="0,0"/>
            <v:stroke on="f" weight="1pt" joinstyle="miter"/>
            <v:imagedata o:title=""/>
            <o:lock v:ext="edit"/>
          </v:shape>
        </v:group>
      </w:pic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73" o:spid="_x0000_s2073" o:spt="203" style="position:absolute;left:0pt;margin-left:0pt;margin-top:0pt;height:37.85pt;width:594.8pt;mso-position-horizontal-relative:page;mso-position-vertical-relative:page;z-index:251662336;mso-width-relative:page;mso-height-relative:page;" coordorigin="881,505" coordsize="11930,1179203"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o:lock v:ext="edit"/>
          <v:rect id="矩形 2" o:spid="_x0000_s2076" o:spt="1" style="position:absolute;left:881;top:1538;height:146;width:11925;v-text-anchor:middle;" fillcolor="#FFD966"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path/>
            <v:fill on="t" focussize="0,0"/>
            <v:stroke on="f" weight="1pt"/>
            <v:imagedata o:title=""/>
            <o:lock v:ext="edit"/>
          </v:rect>
          <v:shape id="任意多边形 3" o:spid="_x0000_s2075" o:spt="100" style="position:absolute;left:10177;top:686;height:862;width:2619;v-text-anchor:middle;" fillcolor="#000000"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type="segments" o:connectlocs="595,1;2619,0;2619,862;0,862;595,1" o:connectangles="0,0,0,0,0"/>
            <v:fill on="t" focussize="0,0"/>
            <v:stroke on="f" weight="1pt" joinstyle="miter"/>
            <v:imagedata o:title=""/>
            <o:lock v:ext="edit"/>
          </v:shape>
          <v:shape id="任意多边形 4" o:spid="_x0000_s2074" o:spt="100" style="position:absolute;left:10467;top:505;height:1108;width:2345;v-text-anchor:middle;" fillcolor="#FFD966"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type="segments" o:connectlocs="598,0;2345,8;2345,1108;0,1108;598,0" o:connectangles="0,0,0,0,0"/>
            <v:fill on="t" focussize="0,0"/>
            <v:stroke on="f" weight="1pt" joinstyle="miter"/>
            <v:imagedata o:title=""/>
            <o:lock v:ext="edit"/>
          </v:shape>
        </v:group>
      </w:pict>
    </w:r>
    <w:r>
      <w:pict>
        <v:group id="_x0000_s2070" o:spid="_x0000_s2070" o:spt="203" style="position:absolute;left:0pt;margin-left:-2.15pt;margin-top:47.15pt;height:32pt;width:235.7pt;mso-position-horizontal-relative:page;mso-position-vertical-relative:page;z-index:251663360;mso-width-relative:page;mso-height-relative:page;" coordorigin="1337,880" coordsize="3150,640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FLiJHZAAAACQEAAA8AAAAAAAAAAQAg&#10;AAAAIgAAAGRycy9kb3ducmV2LnhtbFBLAQIUABQAAAAIAIdO4kCiSQ3IKgMAADkIAAAOAAAAAAAA&#10;AAEAIAAAACgBAABkcnMvZTJvRG9jLnhtbFBLBQYAAAAABgAGAFkBAADEBgAAAAA=&#10;">
          <o:lock v:ext="edit"/>
          <v:shape id="_x0000_s2072" o:spid="_x0000_s2072"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2071" o:spt="1" style="position:absolute;left:1337;top:1044;height:330;width:119;v-text-anchor:middle;" fillcolor="#000000"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82" o:spid="_x0000_s2082" o:spt="203" style="position:absolute;left:0pt;margin-top:29.75pt;height:32pt;width:157.5pt;mso-position-horizontal:left;mso-position-horizontal-relative:page;mso-position-vertical-relative:page;z-index:251665408;mso-width-relative:page;mso-height-relative:page;" coordorigin="1337,880" coordsize="3150,640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Dsxve51wAAAAcBAAAPAAAAAAAAAAEA&#10;IAAAACIAAABkcnMvZG93bnJldi54bWxQSwECFAAUAAAACACHTuJAK9R0LS0DAAA5CAAADgAAAAAA&#10;AAABACAAAAAmAQAAZHJzL2Uyb0RvYy54bWxQSwUGAAAAAAYABgBZAQAAxQYAAAAA&#10;">
          <o:lock v:ext="edit"/>
          <v:shape id="_x0000_s2084" o:spid="_x0000_s2084"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2083" o:spt="1" style="position:absolute;left:1337;top:1044;height:330;width:119;v-text-anchor:middle;" fillcolor="#000000"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r>
      <w:pict>
        <v:group id="_x0000_s2078" o:spid="_x0000_s2078" o:spt="203" style="position:absolute;left:0pt;margin-left:0pt;margin-top:0pt;height:58.95pt;width:596.5pt;mso-position-horizontal-relative:page;mso-position-vertical-relative:page;z-index:251664384;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U0b31QAAAAYBAAAPAAAAAAAAAAEAIAAA&#10;ACIAAABkcnMvZG93bnJldi54bWxQSwECFAAUAAAACACHTuJAiQ2Z1fQEAAClFAAADgAAAAAAAAAB&#10;ACAAAAAkAQAAZHJzL2Uyb0RvYy54bWxQSwUGAAAAAAYABgBZAQAAiggAAAAA&#10;">
          <o:lock v:ext="edit"/>
          <v:rect id="矩形 2" o:spid="_x0000_s2081" o:spt="1" style="position:absolute;left:881;top:1538;height:146;width:11925;v-text-anchor:middle;" fillcolor="#FFD966"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path/>
            <v:fill on="t" focussize="0,0"/>
            <v:stroke on="f" weight="1pt"/>
            <v:imagedata o:title=""/>
            <o:lock v:ext="edit"/>
          </v:rect>
          <v:shape id="任意多边形 3" o:spid="_x0000_s2080" o:spt="100" style="position:absolute;left:10177;top:686;height:862;width:2619;v-text-anchor:middle;" fillcolor="#000000"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type="segments" o:connectlocs="595,1;2619,0;2619,862;0,862;595,1" o:connectangles="0,0,0,0,0"/>
            <v:fill on="t" focussize="0,0"/>
            <v:stroke on="f" weight="1pt" joinstyle="miter"/>
            <v:imagedata o:title=""/>
            <o:lock v:ext="edit"/>
          </v:shape>
          <v:shape id="任意多边形 4" o:spid="_x0000_s2079" o:spt="100" style="position:absolute;left:10467;top:505;height:1108;width:2345;v-text-anchor:middle;" fillcolor="#FFD966"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type="segments" o:connectlocs="598,0;2345,8;2345,1108;0,1108;598,0" o:connectangles="0,0,0,0,0"/>
            <v:fill on="t" focussize="0,0"/>
            <v:stroke on="f" weight="1pt" joinstyle="miter"/>
            <v:imagedata o:title=""/>
            <o:lock v:ext="edit"/>
          </v:shape>
        </v:group>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420DF93"/>
    <w:multiLevelType w:val="singleLevel"/>
    <w:tmpl w:val="B420DF93"/>
    <w:lvl w:ilvl="0" w:tentative="0">
      <w:start w:val="1"/>
      <w:numFmt w:val="chineseCounting"/>
      <w:suff w:val="nothing"/>
      <w:lvlText w:val="%1、"/>
      <w:lvlJc w:val="left"/>
      <w:rPr>
        <w:rFonts w:hint="eastAsia"/>
      </w:rPr>
    </w:lvl>
  </w:abstractNum>
  <w:abstractNum w:abstractNumId="1">
    <w:nsid w:val="C1CB644E"/>
    <w:multiLevelType w:val="singleLevel"/>
    <w:tmpl w:val="C1CB644E"/>
    <w:lvl w:ilvl="0" w:tentative="0">
      <w:start w:val="1"/>
      <w:numFmt w:val="chineseCounting"/>
      <w:suff w:val="nothing"/>
      <w:lvlText w:val="（%1）"/>
      <w:lvlJc w:val="left"/>
      <w:rPr>
        <w:rFonts w:hint="eastAsia"/>
      </w:rPr>
    </w:lvl>
  </w:abstractNum>
  <w:abstractNum w:abstractNumId="2">
    <w:nsid w:val="45DB9A87"/>
    <w:multiLevelType w:val="singleLevel"/>
    <w:tmpl w:val="45DB9A87"/>
    <w:lvl w:ilvl="0" w:tentative="0">
      <w:start w:val="3"/>
      <w:numFmt w:val="chineseCounting"/>
      <w:suff w:val="nothing"/>
      <w:lvlText w:val="（%1）"/>
      <w:lvlJc w:val="left"/>
      <w:rPr>
        <w:rFonts w:hint="eastAsia"/>
      </w:rPr>
    </w:lvl>
  </w:abstractNum>
  <w:abstractNum w:abstractNumId="3">
    <w:nsid w:val="59950409"/>
    <w:multiLevelType w:val="singleLevel"/>
    <w:tmpl w:val="59950409"/>
    <w:lvl w:ilvl="0" w:tentative="0">
      <w:start w:val="1"/>
      <w:numFmt w:val="decimal"/>
      <w:suff w:val="space"/>
      <w:lvlText w:val="%1."/>
      <w:lvlJc w:val="left"/>
    </w:lvl>
  </w:abstractNum>
  <w:abstractNum w:abstractNumId="4">
    <w:nsid w:val="78C1413D"/>
    <w:multiLevelType w:val="singleLevel"/>
    <w:tmpl w:val="78C1413D"/>
    <w:lvl w:ilvl="0" w:tentative="0">
      <w:start w:val="1"/>
      <w:numFmt w:val="decimal"/>
      <w:suff w:val="space"/>
      <w:lvlText w:val="%1."/>
      <w:lvlJc w:val="left"/>
    </w:lvl>
  </w:abstractNum>
  <w:num w:numId="1">
    <w:abstractNumId w:val="4"/>
  </w:num>
  <w:num w:numId="2">
    <w:abstractNumId w:val="3"/>
  </w:num>
  <w:num w:numId="3">
    <w:abstractNumId w:val="2"/>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6AAF1C96"/>
    <w:rsid w:val="00061018"/>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7433B"/>
    <w:rsid w:val="002A6C46"/>
    <w:rsid w:val="002C19B5"/>
    <w:rsid w:val="003A4EE8"/>
    <w:rsid w:val="003E4CA5"/>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43D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3380A"/>
    <w:rsid w:val="00A929C2"/>
    <w:rsid w:val="00AD097F"/>
    <w:rsid w:val="00B61CA4"/>
    <w:rsid w:val="00B844F4"/>
    <w:rsid w:val="00BA06A1"/>
    <w:rsid w:val="00BA770A"/>
    <w:rsid w:val="00C054DE"/>
    <w:rsid w:val="00C679A9"/>
    <w:rsid w:val="00C7541C"/>
    <w:rsid w:val="00CA4704"/>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21CB"/>
    <w:rsid w:val="00F665F4"/>
    <w:rsid w:val="00FD225F"/>
    <w:rsid w:val="013D19E8"/>
    <w:rsid w:val="01452EB5"/>
    <w:rsid w:val="014A6FAB"/>
    <w:rsid w:val="02D27CD1"/>
    <w:rsid w:val="032F3209"/>
    <w:rsid w:val="04A61BC2"/>
    <w:rsid w:val="04CF642B"/>
    <w:rsid w:val="04FB5CFA"/>
    <w:rsid w:val="051B0009"/>
    <w:rsid w:val="05B00A30"/>
    <w:rsid w:val="086D31E2"/>
    <w:rsid w:val="08A342FE"/>
    <w:rsid w:val="09A84263"/>
    <w:rsid w:val="0B011416"/>
    <w:rsid w:val="0B2061E0"/>
    <w:rsid w:val="0B3B385E"/>
    <w:rsid w:val="0D1F494C"/>
    <w:rsid w:val="0E504E3C"/>
    <w:rsid w:val="0E5F2075"/>
    <w:rsid w:val="0F1D6C8A"/>
    <w:rsid w:val="0F73553A"/>
    <w:rsid w:val="10444E27"/>
    <w:rsid w:val="11117FCE"/>
    <w:rsid w:val="1357494E"/>
    <w:rsid w:val="15456EF8"/>
    <w:rsid w:val="16DA0448"/>
    <w:rsid w:val="18DB2BDF"/>
    <w:rsid w:val="199C4300"/>
    <w:rsid w:val="1C0B390F"/>
    <w:rsid w:val="1C1E2FF2"/>
    <w:rsid w:val="1E3836F7"/>
    <w:rsid w:val="1F8A42AF"/>
    <w:rsid w:val="201F0A56"/>
    <w:rsid w:val="221B0E16"/>
    <w:rsid w:val="24C80E2E"/>
    <w:rsid w:val="286659DA"/>
    <w:rsid w:val="2C7560DE"/>
    <w:rsid w:val="2C973A48"/>
    <w:rsid w:val="2CA332BF"/>
    <w:rsid w:val="2CA444B7"/>
    <w:rsid w:val="2D494A1A"/>
    <w:rsid w:val="2FB7659E"/>
    <w:rsid w:val="30403CC4"/>
    <w:rsid w:val="30742E84"/>
    <w:rsid w:val="31C2036A"/>
    <w:rsid w:val="31FD5450"/>
    <w:rsid w:val="320D02A5"/>
    <w:rsid w:val="32944015"/>
    <w:rsid w:val="32E43819"/>
    <w:rsid w:val="336D0102"/>
    <w:rsid w:val="338A3469"/>
    <w:rsid w:val="3400323E"/>
    <w:rsid w:val="34005851"/>
    <w:rsid w:val="348E566F"/>
    <w:rsid w:val="35013FFF"/>
    <w:rsid w:val="355D70CF"/>
    <w:rsid w:val="35A73B92"/>
    <w:rsid w:val="360A2C5D"/>
    <w:rsid w:val="36637940"/>
    <w:rsid w:val="3689036D"/>
    <w:rsid w:val="36E9226F"/>
    <w:rsid w:val="380C4DB2"/>
    <w:rsid w:val="392A1C8F"/>
    <w:rsid w:val="3A173499"/>
    <w:rsid w:val="3A226944"/>
    <w:rsid w:val="3A747A30"/>
    <w:rsid w:val="3AEE6A48"/>
    <w:rsid w:val="3B0E2865"/>
    <w:rsid w:val="3B4C0535"/>
    <w:rsid w:val="3B577FE7"/>
    <w:rsid w:val="3B995AF8"/>
    <w:rsid w:val="3BA54B70"/>
    <w:rsid w:val="3C1620AA"/>
    <w:rsid w:val="3D092E57"/>
    <w:rsid w:val="3D8801C2"/>
    <w:rsid w:val="3D8F080F"/>
    <w:rsid w:val="3EB203A4"/>
    <w:rsid w:val="3EFB62A0"/>
    <w:rsid w:val="3F171F41"/>
    <w:rsid w:val="3F7E576E"/>
    <w:rsid w:val="40065C2A"/>
    <w:rsid w:val="43113915"/>
    <w:rsid w:val="44011238"/>
    <w:rsid w:val="44951C42"/>
    <w:rsid w:val="44CE1FA4"/>
    <w:rsid w:val="453D1230"/>
    <w:rsid w:val="45405473"/>
    <w:rsid w:val="46E33559"/>
    <w:rsid w:val="473B1B17"/>
    <w:rsid w:val="486365E1"/>
    <w:rsid w:val="487F73ED"/>
    <w:rsid w:val="495953ED"/>
    <w:rsid w:val="4A347EAE"/>
    <w:rsid w:val="4AA2406D"/>
    <w:rsid w:val="4C2063F4"/>
    <w:rsid w:val="4C5252C5"/>
    <w:rsid w:val="4DF36A8E"/>
    <w:rsid w:val="4DF919BB"/>
    <w:rsid w:val="4EE86B1E"/>
    <w:rsid w:val="4F9B1859"/>
    <w:rsid w:val="5088237F"/>
    <w:rsid w:val="514C32F8"/>
    <w:rsid w:val="52600405"/>
    <w:rsid w:val="529B4319"/>
    <w:rsid w:val="53315D98"/>
    <w:rsid w:val="55AC1D0E"/>
    <w:rsid w:val="55C8637A"/>
    <w:rsid w:val="56283705"/>
    <w:rsid w:val="568549B4"/>
    <w:rsid w:val="57773DD6"/>
    <w:rsid w:val="578B79AB"/>
    <w:rsid w:val="59256C26"/>
    <w:rsid w:val="592C0232"/>
    <w:rsid w:val="597955C3"/>
    <w:rsid w:val="5A1D6864"/>
    <w:rsid w:val="5A692F4F"/>
    <w:rsid w:val="5A803A2A"/>
    <w:rsid w:val="5C820BD0"/>
    <w:rsid w:val="5CCD3FD5"/>
    <w:rsid w:val="61E02B80"/>
    <w:rsid w:val="61FA5F9D"/>
    <w:rsid w:val="626351C0"/>
    <w:rsid w:val="64CD6910"/>
    <w:rsid w:val="65C82FB4"/>
    <w:rsid w:val="6789158D"/>
    <w:rsid w:val="67D81BA4"/>
    <w:rsid w:val="68A3233D"/>
    <w:rsid w:val="6AA0199B"/>
    <w:rsid w:val="6AAF1C96"/>
    <w:rsid w:val="6C6402FD"/>
    <w:rsid w:val="6CCA6BF9"/>
    <w:rsid w:val="6DF65898"/>
    <w:rsid w:val="6DF73F5C"/>
    <w:rsid w:val="6EBF57CA"/>
    <w:rsid w:val="6F427410"/>
    <w:rsid w:val="6F9F6A21"/>
    <w:rsid w:val="70C85F6E"/>
    <w:rsid w:val="71650B6B"/>
    <w:rsid w:val="724428B5"/>
    <w:rsid w:val="73A118D5"/>
    <w:rsid w:val="749F7ACE"/>
    <w:rsid w:val="74F8292D"/>
    <w:rsid w:val="75284BD0"/>
    <w:rsid w:val="75681757"/>
    <w:rsid w:val="75A346A8"/>
    <w:rsid w:val="75B10B5A"/>
    <w:rsid w:val="75D744B3"/>
    <w:rsid w:val="75EB3F35"/>
    <w:rsid w:val="78E14DE2"/>
    <w:rsid w:val="78FB0541"/>
    <w:rsid w:val="79B9382C"/>
    <w:rsid w:val="7B043B76"/>
    <w:rsid w:val="7B4C63F0"/>
    <w:rsid w:val="7C041A6A"/>
    <w:rsid w:val="7C150A22"/>
    <w:rsid w:val="7D9927E6"/>
    <w:rsid w:val="7E327570"/>
    <w:rsid w:val="7E34554E"/>
    <w:rsid w:val="7EBB35EE"/>
    <w:rsid w:val="7F300CEE"/>
    <w:rsid w:val="7F5C74E8"/>
    <w:rsid w:val="7FBD38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paragraph" w:styleId="3">
    <w:name w:val="heading 2"/>
    <w:basedOn w:val="1"/>
    <w:next w:val="1"/>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4">
    <w:name w:val="Body Text"/>
    <w:basedOn w:val="1"/>
    <w:unhideWhenUsed/>
    <w:qFormat/>
    <w:uiPriority w:val="99"/>
    <w:rPr>
      <w:rFonts w:ascii="仿宋_GB2312" w:hAnsi="仿宋_GB2312" w:eastAsia="仿宋_GB2312" w:cs="仿宋_GB2312"/>
      <w:sz w:val="32"/>
      <w:szCs w:val="32"/>
      <w:lang w:val="zh-CN" w:bidi="zh-CN"/>
    </w:rPr>
  </w:style>
  <w:style w:type="paragraph" w:styleId="5">
    <w:name w:val="footer"/>
    <w:basedOn w:val="1"/>
    <w:link w:val="11"/>
    <w:unhideWhenUsed/>
    <w:qFormat/>
    <w:uiPriority w:val="99"/>
    <w:pPr>
      <w:tabs>
        <w:tab w:val="center" w:pos="4153"/>
        <w:tab w:val="right" w:pos="8306"/>
      </w:tabs>
      <w:snapToGrid w:val="0"/>
      <w:jc w:val="left"/>
    </w:pPr>
    <w:rPr>
      <w:sz w:val="18"/>
      <w:szCs w:val="18"/>
    </w:rPr>
  </w:style>
  <w:style w:type="paragraph" w:styleId="6">
    <w:name w:val="header"/>
    <w:basedOn w:val="1"/>
    <w:link w:val="10"/>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0">
    <w:name w:val="页眉 Char"/>
    <w:basedOn w:val="9"/>
    <w:link w:val="6"/>
    <w:qFormat/>
    <w:uiPriority w:val="99"/>
    <w:rPr>
      <w:rFonts w:asciiTheme="minorHAnsi" w:hAnsiTheme="minorHAnsi" w:eastAsiaTheme="minorEastAsia"/>
      <w:sz w:val="18"/>
      <w:szCs w:val="18"/>
    </w:rPr>
  </w:style>
  <w:style w:type="character" w:customStyle="1" w:styleId="11">
    <w:name w:val="页脚 Char"/>
    <w:basedOn w:val="9"/>
    <w:link w:val="5"/>
    <w:qFormat/>
    <w:uiPriority w:val="99"/>
    <w:rPr>
      <w:sz w:val="18"/>
      <w:szCs w:val="18"/>
    </w:rPr>
  </w:style>
  <w:style w:type="paragraph" w:customStyle="1" w:styleId="12">
    <w:name w:val="列出段落1"/>
    <w:basedOn w:val="1"/>
    <w:qFormat/>
    <w:uiPriority w:val="1"/>
    <w:pPr>
      <w:spacing w:before="2"/>
      <w:ind w:left="119" w:right="434" w:firstLine="643"/>
    </w:pPr>
    <w:rPr>
      <w:rFonts w:ascii="仿宋_GB2312" w:hAnsi="仿宋_GB2312" w:eastAsia="仿宋_GB2312" w:cs="仿宋_GB2312"/>
      <w:lang w:val="zh-CN" w:bidi="zh-CN"/>
    </w:rPr>
  </w:style>
  <w:style w:type="character" w:customStyle="1" w:styleId="13">
    <w:name w:val="font41"/>
    <w:basedOn w:val="9"/>
    <w:uiPriority w:val="0"/>
    <w:rPr>
      <w:rFonts w:hint="eastAsia" w:ascii="宋体" w:hAnsi="宋体" w:eastAsia="宋体" w:cs="宋体"/>
      <w:color w:val="000000"/>
      <w:sz w:val="16"/>
      <w:szCs w:val="16"/>
      <w:u w:val="none"/>
    </w:rPr>
  </w:style>
  <w:style w:type="character" w:customStyle="1" w:styleId="14">
    <w:name w:val="font31"/>
    <w:basedOn w:val="9"/>
    <w:uiPriority w:val="0"/>
    <w:rPr>
      <w:rFonts w:ascii="Calibri" w:hAnsi="Calibri" w:cs="Calibri"/>
      <w:color w:val="000000"/>
      <w:sz w:val="16"/>
      <w:szCs w:val="16"/>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3" Type="http://schemas.openxmlformats.org/officeDocument/2006/relationships/fontTable" Target="fontTable.xml"/><Relationship Id="rId32" Type="http://schemas.openxmlformats.org/officeDocument/2006/relationships/customXml" Target="../customXml/item2.xml"/><Relationship Id="rId31" Type="http://schemas.openxmlformats.org/officeDocument/2006/relationships/numbering" Target="numbering.xml"/><Relationship Id="rId30" Type="http://schemas.openxmlformats.org/officeDocument/2006/relationships/customXml" Target="../customXml/item1.xml"/><Relationship Id="rId3" Type="http://schemas.openxmlformats.org/officeDocument/2006/relationships/header" Target="header1.xml"/><Relationship Id="rId29" Type="http://schemas.openxmlformats.org/officeDocument/2006/relationships/image" Target="media/image2.bmp"/><Relationship Id="rId28" Type="http://schemas.openxmlformats.org/officeDocument/2006/relationships/chart" Target="charts/chart4.xml"/><Relationship Id="rId27" Type="http://schemas.openxmlformats.org/officeDocument/2006/relationships/chart" Target="charts/chart3.xml"/><Relationship Id="rId26" Type="http://schemas.openxmlformats.org/officeDocument/2006/relationships/chart" Target="charts/chart2.xml"/><Relationship Id="rId25" Type="http://schemas.openxmlformats.org/officeDocument/2006/relationships/chart" Target="charts/chart1.xml"/><Relationship Id="rId24" Type="http://schemas.openxmlformats.org/officeDocument/2006/relationships/theme" Target="theme/theme1.xml"/><Relationship Id="rId23" Type="http://schemas.openxmlformats.org/officeDocument/2006/relationships/footer" Target="footer7.xml"/><Relationship Id="rId22" Type="http://schemas.openxmlformats.org/officeDocument/2006/relationships/header" Target="header14.xml"/><Relationship Id="rId21" Type="http://schemas.openxmlformats.org/officeDocument/2006/relationships/header" Target="header13.xml"/><Relationship Id="rId20" Type="http://schemas.openxmlformats.org/officeDocument/2006/relationships/header" Target="header12.xml"/><Relationship Id="rId2" Type="http://schemas.openxmlformats.org/officeDocument/2006/relationships/settings" Target="settings.xml"/><Relationship Id="rId19" Type="http://schemas.openxmlformats.org/officeDocument/2006/relationships/header" Target="header11.xml"/><Relationship Id="rId18" Type="http://schemas.openxmlformats.org/officeDocument/2006/relationships/header" Target="header10.xml"/><Relationship Id="rId17" Type="http://schemas.openxmlformats.org/officeDocument/2006/relationships/footer" Target="footer6.xml"/><Relationship Id="rId16" Type="http://schemas.openxmlformats.org/officeDocument/2006/relationships/footer" Target="footer5.xml"/><Relationship Id="rId15" Type="http://schemas.openxmlformats.org/officeDocument/2006/relationships/header" Target="header9.xml"/><Relationship Id="rId14" Type="http://schemas.openxmlformats.org/officeDocument/2006/relationships/header" Target="header8.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1.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24037;&#20316;&#31807;1" TargetMode="External"/></Relationships>
</file>

<file path=word/charts/_rels/chart2.xml.rels><?xml version="1.0" encoding="UTF-8" standalone="yes"?>
<Relationships xmlns="http://schemas.openxmlformats.org/package/2006/relationships"><Relationship Id="rId5" Type="http://schemas.microsoft.com/office/2011/relationships/chartColorStyle" Target="colors4.xml"/><Relationship Id="rId4" Type="http://schemas.microsoft.com/office/2011/relationships/chartStyle" Target="style4.xml"/><Relationship Id="rId3" Type="http://schemas.openxmlformats.org/officeDocument/2006/relationships/image" Target="../media/image4.png"/><Relationship Id="rId2" Type="http://schemas.openxmlformats.org/officeDocument/2006/relationships/themeOverride" Target="../theme/themeOverride2.xml"/><Relationship Id="rId1" Type="http://schemas.openxmlformats.org/officeDocument/2006/relationships/oleObject" Target="&#24037;&#20316;&#31807;1" TargetMode="External"/></Relationships>
</file>

<file path=word/charts/_rels/chart3.xml.rels><?xml version="1.0" encoding="UTF-8" standalone="yes"?>
<Relationships xmlns="http://schemas.openxmlformats.org/package/2006/relationships"><Relationship Id="rId5" Type="http://schemas.microsoft.com/office/2011/relationships/chartColorStyle" Target="colors3.xml"/><Relationship Id="rId4" Type="http://schemas.microsoft.com/office/2011/relationships/chartStyle" Target="style3.xml"/><Relationship Id="rId3" Type="http://schemas.openxmlformats.org/officeDocument/2006/relationships/image" Target="../media/image3.png"/><Relationship Id="rId2" Type="http://schemas.openxmlformats.org/officeDocument/2006/relationships/themeOverride" Target="../theme/themeOverride1.xml"/><Relationship Id="rId1" Type="http://schemas.openxmlformats.org/officeDocument/2006/relationships/oleObject" Target="&#24037;&#20316;&#31807;1" TargetMode="External"/></Relationships>
</file>

<file path=word/charts/_rels/chart4.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24037;&#20316;&#31807;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93999732727516"/>
          <c:y val="0.23874275523852"/>
          <c:w val="0.394627823065615"/>
          <c:h val="0.658270173874276"/>
        </c:manualLayout>
      </c:layout>
      <c:pieChart>
        <c:varyColors val="1"/>
        <c:ser>
          <c:idx val="0"/>
          <c:order val="0"/>
          <c:spPr/>
          <c:explosion val="5"/>
          <c:dPt>
            <c:idx val="0"/>
            <c:bubble3D val="0"/>
            <c:explosion val="12"/>
            <c:spPr>
              <a:solidFill>
                <a:schemeClr val="accent1"/>
              </a:solidFill>
              <a:ln w="19050">
                <a:solidFill>
                  <a:schemeClr val="lt1"/>
                </a:solidFill>
              </a:ln>
              <a:effectLst/>
            </c:spPr>
          </c:dPt>
          <c:dPt>
            <c:idx val="1"/>
            <c:bubble3D val="0"/>
            <c:explosion val="0"/>
            <c:spPr>
              <a:solidFill>
                <a:schemeClr val="accent2"/>
              </a:solidFill>
              <a:ln w="19050">
                <a:solidFill>
                  <a:schemeClr val="lt1"/>
                </a:solidFill>
              </a:ln>
              <a:effectLst/>
            </c:spPr>
          </c:dPt>
          <c:dLbls>
            <c:dLbl>
              <c:idx val="0"/>
              <c:layout/>
              <c:numFmt formatCode="General" sourceLinked="1"/>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1"/>
              <c:showVal val="1"/>
              <c:showCatName val="1"/>
              <c:showSerName val="0"/>
              <c:showPercent val="0"/>
              <c:showBubbleSize val="0"/>
              <c:extLst>
                <c:ext xmlns:c15="http://schemas.microsoft.com/office/drawing/2012/chart" uri="{CE6537A1-D6FC-4f65-9D91-7224C49458BB}"/>
              </c:extLst>
            </c:dLbl>
            <c:dLbl>
              <c:idx val="1"/>
              <c:layout/>
              <c:numFmt formatCode="General" sourceLinked="1"/>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1"/>
              <c:showVal val="1"/>
              <c:showCatName val="1"/>
              <c:showSerName val="0"/>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1"/>
            <c:showVal val="1"/>
            <c:showCatName val="1"/>
            <c:showSerName val="0"/>
            <c:showPercent val="0"/>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[工作簿1]Sheet1!$B$23:$C$23</c:f>
              <c:strCache>
                <c:ptCount val="2"/>
                <c:pt idx="0">
                  <c:v>基本支出</c:v>
                </c:pt>
                <c:pt idx="1">
                  <c:v>项目支出</c:v>
                </c:pt>
              </c:strCache>
            </c:strRef>
          </c:cat>
          <c:val>
            <c:numRef>
              <c:f>[工作簿1]Sheet1!$B$24:$C$24</c:f>
              <c:numCache>
                <c:formatCode>General</c:formatCode>
                <c:ptCount val="2"/>
                <c:pt idx="0">
                  <c:v>401.541441</c:v>
                </c:pt>
                <c:pt idx="1">
                  <c:v>5688.589327</c:v>
                </c:pt>
              </c:numCache>
            </c:numRef>
          </c:val>
        </c:ser>
        <c:dLbls>
          <c:showLegendKey val="0"/>
          <c:showVal val="1"/>
          <c:showCatName val="0"/>
          <c:showSerName val="0"/>
          <c:showPercent val="0"/>
          <c:showBubbleSize val="0"/>
          <c:showLeaderLines val="1"/>
        </c:dLbls>
        <c:firstSliceAng val="0"/>
      </c:pieChart>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0" vertOverflow="ellipsis" vert="horz" wrap="square" anchor="ctr" anchorCtr="1" forceAA="0"/>
          <a:lstStyle/>
          <a:p>
            <a:pPr>
              <a:defRPr lang="zh-CN" sz="1400" b="0" i="0" u="none" strike="noStrike" kern="1200" spc="0" baseline="0">
                <a:solidFill>
                  <a:schemeClr val="bg1"/>
                </a:solidFill>
                <a:effectLst>
                  <a:outerShdw blurRad="50800" dist="38100" dir="2700000" algn="tl" rotWithShape="0">
                    <a:prstClr val="black">
                      <a:alpha val="50000"/>
                    </a:prstClr>
                  </a:outerShdw>
                </a:effectLst>
                <a:latin typeface="+mn-lt"/>
                <a:ea typeface="+mn-ea"/>
                <a:cs typeface="+mn-cs"/>
              </a:defRPr>
            </a:pPr>
            <a:r>
              <a:t>财政拨款收入支出</a:t>
            </a:r>
          </a:p>
        </c:rich>
      </c:tx>
      <c:layout>
        <c:manualLayout>
          <c:xMode val="edge"/>
          <c:yMode val="edge"/>
          <c:x val="0.297083333333333"/>
          <c:y val="0.0486111111111111"/>
        </c:manualLayout>
      </c:layout>
      <c:overlay val="0"/>
      <c:spPr>
        <a:noFill/>
        <a:ln>
          <a:noFill/>
        </a:ln>
        <a:effectLst/>
      </c:spPr>
    </c:title>
    <c:autoTitleDeleted val="0"/>
    <c:plotArea>
      <c:layout>
        <c:manualLayout>
          <c:layoutTarget val="inner"/>
          <c:xMode val="edge"/>
          <c:yMode val="edge"/>
          <c:x val="0.128277777777778"/>
          <c:y val="0.247059700273592"/>
          <c:w val="0.876840294762754"/>
          <c:h val="0.657199558985667"/>
        </c:manualLayout>
      </c:layout>
      <c:barChart>
        <c:barDir val="col"/>
        <c:grouping val="clustered"/>
        <c:varyColors val="0"/>
        <c:ser>
          <c:idx val="0"/>
          <c:order val="0"/>
          <c:spPr>
            <a:gradFill>
              <a:gsLst>
                <a:gs pos="30000">
                  <a:srgbClr val="F9A61C"/>
                </a:gs>
                <a:gs pos="66000">
                  <a:srgbClr val="F9A61C"/>
                </a:gs>
                <a:gs pos="29000">
                  <a:srgbClr val="FFCA09"/>
                </a:gs>
                <a:gs pos="66000">
                  <a:srgbClr val="F38E1E">
                    <a:alpha val="100000"/>
                  </a:srgbClr>
                </a:gs>
                <a:gs pos="100000">
                  <a:srgbClr val="F1861E"/>
                </a:gs>
              </a:gsLst>
              <a:lin ang="0" scaled="0"/>
            </a:gradFill>
            <a:ln>
              <a:noFill/>
            </a:ln>
            <a:effectLst/>
          </c:spPr>
          <c:invertIfNegative val="0"/>
          <c:dPt>
            <c:idx val="0"/>
            <c:invertIfNegative val="0"/>
            <c:bubble3D val="0"/>
            <c:spPr>
              <a:gradFill>
                <a:gsLst>
                  <a:gs pos="30000">
                    <a:srgbClr val="F9A61C"/>
                  </a:gs>
                  <a:gs pos="66000">
                    <a:srgbClr val="F9A61C"/>
                  </a:gs>
                  <a:gs pos="29000">
                    <a:srgbClr val="FFCA09"/>
                  </a:gs>
                  <a:gs pos="66000">
                    <a:srgbClr val="F38E1E">
                      <a:alpha val="100000"/>
                    </a:srgbClr>
                  </a:gs>
                  <a:gs pos="100000">
                    <a:srgbClr val="F1861E"/>
                  </a:gs>
                </a:gsLst>
                <a:lin ang="0" scaled="0"/>
              </a:gradFill>
              <a:ln w="12700" cmpd="sng">
                <a:noFill/>
                <a:prstDash val="solid"/>
              </a:ln>
              <a:effectLst/>
            </c:spPr>
          </c:dPt>
          <c:dLbls>
            <c:spPr>
              <a:noFill/>
              <a:ln>
                <a:noFill/>
              </a:ln>
              <a:effectLst/>
            </c:spPr>
            <c:txPr>
              <a:bodyPr rot="0" spcFirstLastPara="0" vertOverflow="ellipsis" vert="horz" wrap="square" lIns="38100" tIns="19050" rIns="38100" bIns="19050" anchor="ctr" anchorCtr="1" forceAA="0"/>
              <a:lstStyle/>
              <a:p>
                <a:pPr>
                  <a:defRPr lang="zh-CN" sz="900" b="0" i="0" u="none" strike="noStrike" kern="1200" baseline="0">
                    <a:solidFill>
                      <a:schemeClr val="bg1"/>
                    </a:solidFill>
                    <a:effectLst>
                      <a:outerShdw blurRad="50800" dist="38100" dir="2700000" algn="tl" rotWithShape="0">
                        <a:prstClr val="black">
                          <a:alpha val="50000"/>
                        </a:prstClr>
                      </a:outerShdw>
                    </a:effectLst>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[工作簿1]Sheet1!$F$11:$I$11</c:f>
              <c:strCache>
                <c:ptCount val="4"/>
                <c:pt idx="0">
                  <c:v>2018收入</c:v>
                </c:pt>
                <c:pt idx="1">
                  <c:v>2019收入</c:v>
                </c:pt>
                <c:pt idx="2">
                  <c:v>2018支出</c:v>
                </c:pt>
                <c:pt idx="3">
                  <c:v>2019支出</c:v>
                </c:pt>
              </c:strCache>
            </c:strRef>
          </c:cat>
          <c:val>
            <c:numRef>
              <c:f>[工作簿1]Sheet1!$F$12:$I$12</c:f>
              <c:numCache>
                <c:formatCode>General</c:formatCode>
                <c:ptCount val="4"/>
              </c:numCache>
            </c:numRef>
          </c:val>
        </c:ser>
        <c:ser>
          <c:idx val="1"/>
          <c:order val="1"/>
          <c:spPr>
            <a:gradFill>
              <a:gsLst>
                <a:gs pos="33000">
                  <a:srgbClr val="EE6180"/>
                </a:gs>
                <a:gs pos="32000">
                  <a:srgbClr val="F48CA3"/>
                </a:gs>
                <a:gs pos="72000">
                  <a:srgbClr val="EE6180"/>
                </a:gs>
                <a:gs pos="72000">
                  <a:srgbClr val="EE3875"/>
                </a:gs>
                <a:gs pos="100000">
                  <a:srgbClr val="EE3875"/>
                </a:gs>
              </a:gsLst>
              <a:lin ang="0" scaled="0"/>
            </a:gradFill>
            <a:ln>
              <a:noFill/>
            </a:ln>
            <a:effectLst/>
          </c:spPr>
          <c:invertIfNegative val="0"/>
          <c:dLbls>
            <c:spPr>
              <a:noFill/>
              <a:ln>
                <a:noFill/>
              </a:ln>
              <a:effectLst/>
            </c:spPr>
            <c:txPr>
              <a:bodyPr rot="0" spcFirstLastPara="0" vertOverflow="ellipsis" vert="horz" wrap="square" lIns="38100" tIns="19050" rIns="38100" bIns="19050" anchor="ctr" anchorCtr="1" forceAA="0"/>
              <a:lstStyle/>
              <a:p>
                <a:pPr>
                  <a:defRPr lang="zh-CN" sz="900" b="0" i="0" u="none" strike="noStrike" kern="1200" baseline="0">
                    <a:solidFill>
                      <a:schemeClr val="bg1"/>
                    </a:solidFill>
                    <a:effectLst>
                      <a:outerShdw blurRad="50800" dist="38100" dir="2700000" algn="tl" rotWithShape="0">
                        <a:prstClr val="black">
                          <a:alpha val="50000"/>
                        </a:prstClr>
                      </a:outerShdw>
                    </a:effectLst>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[工作簿1]Sheet1!$F$11:$I$11</c:f>
              <c:strCache>
                <c:ptCount val="4"/>
                <c:pt idx="0">
                  <c:v>2018收入</c:v>
                </c:pt>
                <c:pt idx="1">
                  <c:v>2019收入</c:v>
                </c:pt>
                <c:pt idx="2">
                  <c:v>2018支出</c:v>
                </c:pt>
                <c:pt idx="3">
                  <c:v>2019支出</c:v>
                </c:pt>
              </c:strCache>
            </c:strRef>
          </c:cat>
          <c:val>
            <c:numRef>
              <c:f>[工作簿1]Sheet1!$F$13:$I$13</c:f>
              <c:numCache>
                <c:formatCode>General</c:formatCode>
                <c:ptCount val="4"/>
              </c:numCache>
            </c:numRef>
          </c:val>
        </c:ser>
        <c:ser>
          <c:idx val="2"/>
          <c:order val="2"/>
          <c:spPr>
            <a:gradFill>
              <a:gsLst>
                <a:gs pos="33000">
                  <a:srgbClr val="50BF94"/>
                </a:gs>
                <a:gs pos="31000">
                  <a:srgbClr val="85CFB8"/>
                </a:gs>
                <a:gs pos="68000">
                  <a:srgbClr val="50BF94"/>
                </a:gs>
                <a:gs pos="68000">
                  <a:srgbClr val="1EB685"/>
                </a:gs>
              </a:gsLst>
              <a:lin ang="0" scaled="0"/>
            </a:gradFill>
            <a:ln>
              <a:noFill/>
            </a:ln>
            <a:effectLst/>
          </c:spPr>
          <c:invertIfNegative val="0"/>
          <c:dLbls>
            <c:spPr>
              <a:noFill/>
              <a:ln>
                <a:noFill/>
              </a:ln>
              <a:effectLst/>
            </c:spPr>
            <c:txPr>
              <a:bodyPr rot="0" spcFirstLastPara="0" vertOverflow="ellipsis" vert="horz" wrap="square" lIns="38100" tIns="19050" rIns="38100" bIns="19050" anchor="ctr" anchorCtr="1" forceAA="0"/>
              <a:lstStyle/>
              <a:p>
                <a:pPr>
                  <a:defRPr lang="zh-CN" sz="900" b="0" i="0" u="none" strike="noStrike" kern="1200" baseline="0">
                    <a:solidFill>
                      <a:schemeClr val="bg1"/>
                    </a:solidFill>
                    <a:effectLst>
                      <a:outerShdw blurRad="50800" dist="38100" dir="2700000" algn="tl" rotWithShape="0">
                        <a:prstClr val="black">
                          <a:alpha val="50000"/>
                        </a:prstClr>
                      </a:outerShdw>
                    </a:effectLst>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[工作簿1]Sheet1!$F$11:$I$11</c:f>
              <c:strCache>
                <c:ptCount val="4"/>
                <c:pt idx="0">
                  <c:v>2018收入</c:v>
                </c:pt>
                <c:pt idx="1">
                  <c:v>2019收入</c:v>
                </c:pt>
                <c:pt idx="2">
                  <c:v>2018支出</c:v>
                </c:pt>
                <c:pt idx="3">
                  <c:v>2019支出</c:v>
                </c:pt>
              </c:strCache>
            </c:strRef>
          </c:cat>
          <c:val>
            <c:numRef>
              <c:f>[工作簿1]Sheet1!$F$14:$I$14</c:f>
              <c:numCache>
                <c:formatCode>General</c:formatCode>
                <c:ptCount val="4"/>
              </c:numCache>
            </c:numRef>
          </c:val>
        </c:ser>
        <c:ser>
          <c:idx val="3"/>
          <c:order val="3"/>
          <c:spPr>
            <a:gradFill>
              <a:gsLst>
                <a:gs pos="33000">
                  <a:srgbClr val="00A7D1"/>
                </a:gs>
                <a:gs pos="32000">
                  <a:srgbClr val="05B0E9"/>
                </a:gs>
                <a:gs pos="67000">
                  <a:srgbClr val="00829E"/>
                </a:gs>
                <a:gs pos="66000">
                  <a:srgbClr val="00A7CF"/>
                </a:gs>
              </a:gsLst>
              <a:lin ang="0" scaled="0"/>
            </a:gradFill>
            <a:ln>
              <a:noFill/>
            </a:ln>
            <a:effectLst/>
          </c:spPr>
          <c:invertIfNegative val="0"/>
          <c:dLbls>
            <c:spPr>
              <a:noFill/>
              <a:ln>
                <a:noFill/>
              </a:ln>
              <a:effectLst/>
            </c:spPr>
            <c:txPr>
              <a:bodyPr rot="0" spcFirstLastPara="0" vertOverflow="ellipsis" vert="horz" wrap="square" lIns="38100" tIns="19050" rIns="38100" bIns="19050" anchor="ctr" anchorCtr="1" forceAA="0"/>
              <a:lstStyle/>
              <a:p>
                <a:pPr>
                  <a:defRPr lang="zh-CN" sz="900" b="0" i="0" u="none" strike="noStrike" kern="1200" baseline="0">
                    <a:solidFill>
                      <a:schemeClr val="bg1"/>
                    </a:solidFill>
                    <a:effectLst>
                      <a:outerShdw blurRad="50800" dist="38100" dir="2700000" algn="tl" rotWithShape="0">
                        <a:prstClr val="black">
                          <a:alpha val="50000"/>
                        </a:prstClr>
                      </a:outerShdw>
                    </a:effectLst>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[工作簿1]Sheet1!$F$11:$I$11</c:f>
              <c:strCache>
                <c:ptCount val="4"/>
                <c:pt idx="0">
                  <c:v>2018收入</c:v>
                </c:pt>
                <c:pt idx="1">
                  <c:v>2019收入</c:v>
                </c:pt>
                <c:pt idx="2">
                  <c:v>2018支出</c:v>
                </c:pt>
                <c:pt idx="3">
                  <c:v>2019支出</c:v>
                </c:pt>
              </c:strCache>
            </c:strRef>
          </c:cat>
          <c:val>
            <c:numRef>
              <c:f>[工作簿1]Sheet1!$F$15:$I$15</c:f>
              <c:numCache>
                <c:formatCode>#,##0.00</c:formatCode>
                <c:ptCount val="4"/>
                <c:pt idx="0">
                  <c:v>2951.44</c:v>
                </c:pt>
                <c:pt idx="1">
                  <c:v>82881458.58</c:v>
                </c:pt>
                <c:pt idx="2">
                  <c:v>5488.88</c:v>
                </c:pt>
                <c:pt idx="3">
                  <c:v>60901307.68</c:v>
                </c:pt>
              </c:numCache>
            </c:numRef>
          </c:val>
        </c:ser>
        <c:dLbls>
          <c:showLegendKey val="0"/>
          <c:showVal val="1"/>
          <c:showCatName val="0"/>
          <c:showSerName val="0"/>
          <c:showPercent val="0"/>
          <c:showBubbleSize val="0"/>
        </c:dLbls>
        <c:gapWidth val="219"/>
        <c:overlap val="-27"/>
        <c:axId val="37427456"/>
        <c:axId val="37449728"/>
      </c:barChart>
      <c:catAx>
        <c:axId val="37427456"/>
        <c:scaling>
          <c:orientation val="minMax"/>
        </c:scaling>
        <c:delete val="0"/>
        <c:axPos val="b"/>
        <c:numFmt formatCode="General" sourceLinked="0"/>
        <c:majorTickMark val="none"/>
        <c:minorTickMark val="none"/>
        <c:tickLblPos val="nextTo"/>
        <c:spPr>
          <a:noFill/>
          <a:ln w="9525" cap="flat" cmpd="sng" algn="ctr">
            <a:solidFill>
              <a:schemeClr val="bg1"/>
            </a:solidFill>
            <a:round/>
          </a:ln>
          <a:effectLst/>
        </c:spPr>
        <c:txPr>
          <a:bodyPr rot="-60000000" spcFirstLastPara="0" vertOverflow="ellipsis" vert="horz" wrap="square" anchor="ctr" anchorCtr="1" forceAA="0"/>
          <a:lstStyle/>
          <a:p>
            <a:pPr>
              <a:defRPr lang="zh-CN" sz="900" b="0" i="0" u="none" strike="noStrike" kern="1200" baseline="0">
                <a:solidFill>
                  <a:schemeClr val="bg1"/>
                </a:solidFill>
                <a:effectLst>
                  <a:outerShdw blurRad="50800" dist="38100" dir="2700000" algn="tl" rotWithShape="0">
                    <a:prstClr val="black">
                      <a:alpha val="50000"/>
                    </a:prstClr>
                  </a:outerShdw>
                </a:effectLst>
                <a:latin typeface="+mn-lt"/>
                <a:ea typeface="+mn-ea"/>
                <a:cs typeface="+mn-cs"/>
              </a:defRPr>
            </a:pPr>
          </a:p>
        </c:txPr>
        <c:crossAx val="37449728"/>
        <c:crosses val="autoZero"/>
        <c:auto val="1"/>
        <c:lblAlgn val="ctr"/>
        <c:lblOffset val="100"/>
        <c:noMultiLvlLbl val="0"/>
      </c:catAx>
      <c:valAx>
        <c:axId val="37449728"/>
        <c:scaling>
          <c:orientation val="minMax"/>
        </c:scaling>
        <c:delete val="0"/>
        <c:axPos val="l"/>
        <c:numFmt formatCode="General" sourceLinked="1"/>
        <c:majorTickMark val="none"/>
        <c:minorTickMark val="none"/>
        <c:tickLblPos val="nextTo"/>
        <c:spPr>
          <a:noFill/>
          <a:ln>
            <a:noFill/>
          </a:ln>
          <a:effectLst/>
        </c:spPr>
        <c:txPr>
          <a:bodyPr rot="-60000000" spcFirstLastPara="0" vertOverflow="ellipsis" vert="horz" wrap="square" anchor="ctr" anchorCtr="1" forceAA="0"/>
          <a:lstStyle/>
          <a:p>
            <a:pPr>
              <a:defRPr lang="zh-CN" sz="900" b="0" i="0" u="none" strike="noStrike" kern="1200" baseline="0">
                <a:solidFill>
                  <a:schemeClr val="bg1"/>
                </a:solidFill>
                <a:effectLst>
                  <a:outerShdw blurRad="50800" dist="38100" dir="2700000" algn="tl" rotWithShape="0">
                    <a:prstClr val="black">
                      <a:alpha val="50000"/>
                    </a:prstClr>
                  </a:outerShdw>
                </a:effectLst>
                <a:latin typeface="+mn-lt"/>
                <a:ea typeface="+mn-ea"/>
                <a:cs typeface="+mn-cs"/>
              </a:defRPr>
            </a:pPr>
          </a:p>
        </c:txPr>
        <c:crossAx val="37427456"/>
        <c:crosses val="autoZero"/>
        <c:crossBetween val="between"/>
      </c:valAx>
      <c:spPr>
        <a:noFill/>
        <a:ln>
          <a:noFill/>
        </a:ln>
        <a:effectLst/>
      </c:spPr>
    </c:plotArea>
    <c:legend>
      <c:legendPos val="t"/>
      <c:legendEntry>
        <c:idx val="0"/>
        <c:txPr>
          <a:bodyPr rot="0" spcFirstLastPara="0" vertOverflow="ellipsis" vert="horz" wrap="square" anchor="ctr" anchorCtr="1" forceAA="0"/>
          <a:lstStyle/>
          <a:p>
            <a:pPr>
              <a:defRPr lang="zh-CN" sz="900" b="0" i="0" u="none" strike="noStrike" kern="1200" baseline="0">
                <a:solidFill>
                  <a:schemeClr val="bg1"/>
                </a:solidFill>
                <a:effectLst>
                  <a:outerShdw blurRad="50800" dist="38100" dir="2700000" algn="tl" rotWithShape="0">
                    <a:prstClr val="black">
                      <a:alpha val="50000"/>
                    </a:prstClr>
                  </a:outerShdw>
                </a:effectLst>
                <a:latin typeface="+mn-lt"/>
                <a:ea typeface="+mn-ea"/>
                <a:cs typeface="+mn-cs"/>
              </a:defRPr>
            </a:pPr>
          </a:p>
        </c:txPr>
      </c:legendEntry>
      <c:legendEntry>
        <c:idx val="1"/>
        <c:txPr>
          <a:bodyPr rot="0" spcFirstLastPara="0" vertOverflow="ellipsis" vert="horz" wrap="square" anchor="ctr" anchorCtr="1" forceAA="0"/>
          <a:lstStyle/>
          <a:p>
            <a:pPr>
              <a:defRPr lang="zh-CN" sz="900" b="0" i="0" u="none" strike="noStrike" kern="1200" baseline="0">
                <a:solidFill>
                  <a:schemeClr val="bg1"/>
                </a:solidFill>
                <a:effectLst>
                  <a:outerShdw blurRad="50800" dist="38100" dir="2700000" algn="tl" rotWithShape="0">
                    <a:prstClr val="black">
                      <a:alpha val="50000"/>
                    </a:prstClr>
                  </a:outerShdw>
                </a:effectLst>
                <a:latin typeface="+mn-lt"/>
                <a:ea typeface="+mn-ea"/>
                <a:cs typeface="+mn-cs"/>
              </a:defRPr>
            </a:pPr>
          </a:p>
        </c:txPr>
      </c:legendEntry>
      <c:legendEntry>
        <c:idx val="2"/>
        <c:txPr>
          <a:bodyPr rot="0" spcFirstLastPara="0" vertOverflow="ellipsis" vert="horz" wrap="square" anchor="ctr" anchorCtr="1" forceAA="0"/>
          <a:lstStyle/>
          <a:p>
            <a:pPr>
              <a:defRPr lang="zh-CN" sz="900" b="0" i="0" u="none" strike="noStrike" kern="1200" baseline="0">
                <a:solidFill>
                  <a:schemeClr val="bg1"/>
                </a:solidFill>
                <a:effectLst>
                  <a:outerShdw blurRad="50800" dist="38100" dir="2700000" algn="tl" rotWithShape="0">
                    <a:prstClr val="black">
                      <a:alpha val="50000"/>
                    </a:prstClr>
                  </a:outerShdw>
                </a:effectLst>
                <a:latin typeface="+mn-lt"/>
                <a:ea typeface="+mn-ea"/>
                <a:cs typeface="+mn-cs"/>
              </a:defRPr>
            </a:pPr>
          </a:p>
        </c:txPr>
      </c:legendEntry>
      <c:legendEntry>
        <c:idx val="3"/>
        <c:txPr>
          <a:bodyPr rot="0" spcFirstLastPara="0" vertOverflow="ellipsis" vert="horz" wrap="square" anchor="ctr" anchorCtr="1" forceAA="0"/>
          <a:lstStyle/>
          <a:p>
            <a:pPr>
              <a:defRPr lang="zh-CN" sz="900" b="0" i="0" u="none" strike="noStrike" kern="1200" baseline="0">
                <a:solidFill>
                  <a:schemeClr val="bg1"/>
                </a:solidFill>
                <a:effectLst>
                  <a:outerShdw blurRad="50800" dist="38100" dir="2700000" algn="tl" rotWithShape="0">
                    <a:prstClr val="black">
                      <a:alpha val="50000"/>
                    </a:prstClr>
                  </a:outerShdw>
                </a:effectLst>
                <a:latin typeface="+mn-lt"/>
                <a:ea typeface="+mn-ea"/>
                <a:cs typeface="+mn-cs"/>
              </a:defRPr>
            </a:pPr>
          </a:p>
        </c:txPr>
      </c:legendEntry>
      <c:layout>
        <c:manualLayout>
          <c:xMode val="edge"/>
          <c:yMode val="edge"/>
          <c:x val="0.308335510844003"/>
          <c:y val="0.130540242557883"/>
        </c:manualLayout>
      </c:layout>
      <c:overlay val="0"/>
      <c:spPr>
        <a:noFill/>
        <a:ln>
          <a:noFill/>
        </a:ln>
        <a:effectLst/>
      </c:spPr>
      <c:txPr>
        <a:bodyPr rot="0" spcFirstLastPara="0" vertOverflow="ellipsis" vert="horz" wrap="square" anchor="ctr" anchorCtr="1" forceAA="0"/>
        <a:lstStyle/>
        <a:p>
          <a:pPr>
            <a:defRPr lang="zh-CN" sz="900" b="0" i="0" u="none" strike="noStrike" kern="1200" baseline="0">
              <a:solidFill>
                <a:schemeClr val="bg1"/>
              </a:solidFill>
              <a:effectLst>
                <a:outerShdw blurRad="50800" dist="38100" dir="2700000" algn="tl" rotWithShape="0">
                  <a:prstClr val="black">
                    <a:alpha val="50000"/>
                  </a:prstClr>
                </a:outerShdw>
              </a:effectLst>
              <a:latin typeface="+mn-lt"/>
              <a:ea typeface="+mn-ea"/>
              <a:cs typeface="+mn-cs"/>
            </a:defRPr>
          </a:pPr>
        </a:p>
      </c:txPr>
    </c:legend>
    <c:plotVisOnly val="1"/>
    <c:dispBlanksAs val="gap"/>
    <c:showDLblsOverMax val="0"/>
  </c:chart>
  <c:spPr>
    <a:blipFill rotWithShape="1">
      <a:blip xmlns:r="http://schemas.openxmlformats.org/officeDocument/2006/relationships" r:embed="rId3"/>
      <a:stretch>
        <a:fillRect/>
      </a:stretch>
    </a:blipFill>
    <a:ln w="9525" cap="flat" cmpd="sng" algn="ctr">
      <a:noFill/>
      <a:round/>
    </a:ln>
    <a:effectLst/>
  </c:spPr>
  <c:txPr>
    <a:bodyPr/>
    <a:lstStyle/>
    <a:p>
      <a:pPr>
        <a:defRPr lang="zh-CN">
          <a:solidFill>
            <a:schemeClr val="bg1"/>
          </a:solidFill>
          <a:effectLst>
            <a:outerShdw blurRad="50800" dist="38100" dir="2700000" algn="tl" rotWithShape="0">
              <a:prstClr val="black">
                <a:alpha val="50000"/>
              </a:prstClr>
            </a:outerShdw>
          </a:effectLst>
        </a:defRPr>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0" vertOverflow="ellipsis" vert="horz" wrap="square" anchor="ctr" anchorCtr="1" forceAA="0"/>
          <a:lstStyle/>
          <a:p>
            <a:pPr>
              <a:defRPr lang="zh-CN" sz="1600" b="0" i="0" u="none" strike="noStrike" kern="1200" spc="0" baseline="0">
                <a:solidFill>
                  <a:schemeClr val="tx1">
                    <a:lumMod val="65000"/>
                    <a:lumOff val="35000"/>
                  </a:schemeClr>
                </a:solidFill>
                <a:latin typeface="+mn-lt"/>
                <a:ea typeface="+mn-ea"/>
                <a:cs typeface="+mn-cs"/>
              </a:defRPr>
            </a:pPr>
            <a:r>
              <a:t>财政拨款收支与年初预算</a:t>
            </a:r>
          </a:p>
        </c:rich>
      </c:tx>
      <c:layout/>
      <c:overlay val="0"/>
      <c:spPr>
        <a:noFill/>
        <a:ln>
          <a:noFill/>
        </a:ln>
        <a:effectLst/>
      </c:spPr>
    </c:title>
    <c:autoTitleDeleted val="0"/>
    <c:plotArea>
      <c:layout>
        <c:manualLayout>
          <c:layoutTarget val="inner"/>
          <c:xMode val="edge"/>
          <c:yMode val="edge"/>
          <c:x val="0.0958333333333333"/>
          <c:y val="0.25146456665262"/>
          <c:w val="0.870739854390696"/>
          <c:h val="0.667840988902936"/>
        </c:manualLayout>
      </c:layout>
      <c:barChart>
        <c:barDir val="col"/>
        <c:grouping val="clustered"/>
        <c:varyColors val="0"/>
        <c:ser>
          <c:idx val="0"/>
          <c:order val="0"/>
          <c:spPr>
            <a:blipFill dpi="0" rotWithShape="1">
              <a:blip xmlns:r="http://schemas.openxmlformats.org/officeDocument/2006/relationships" r:embed="rId3"/>
              <a:srcRect/>
              <a:stretch>
                <a:fillRect/>
              </a:stretch>
            </a:blipFill>
            <a:ln>
              <a:noFill/>
            </a:ln>
            <a:effectLst>
              <a:outerShdw blurRad="76200" dir="18900000" sy="23000" kx="-1200000" algn="bl" rotWithShape="0">
                <a:prstClr val="black">
                  <a:alpha val="20000"/>
                </a:prstClr>
              </a:outerShdw>
            </a:effectLst>
          </c:spPr>
          <c:invertIfNegative val="0"/>
          <c:dLbls>
            <c:spPr>
              <a:noFill/>
              <a:ln>
                <a:noFill/>
              </a:ln>
              <a:effectLst/>
            </c:spPr>
            <c:txPr>
              <a:bodyPr rot="0" spcFirstLastPara="0" vertOverflow="ellipsis" vert="horz" wrap="square" lIns="38100" tIns="19050" rIns="38100" bIns="19050" anchor="ctr" anchorCtr="1" forceAA="0">
                <a:spAutoFit/>
              </a:bodyPr>
              <a:lstStyle/>
              <a:p>
                <a:pPr>
                  <a:defRPr lang="zh-CN" sz="800" b="0" i="0" u="none" strike="noStrike" kern="1200" baseline="0">
                    <a:solidFill>
                      <a:schemeClr val="tx1">
                        <a:lumMod val="50000"/>
                        <a:lumOff val="50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[工作簿1]Sheet1!$G$22:$J$22</c:f>
              <c:strCache>
                <c:ptCount val="4"/>
                <c:pt idx="0">
                  <c:v>财政拨款收入</c:v>
                </c:pt>
                <c:pt idx="1">
                  <c:v>年初预算收入</c:v>
                </c:pt>
                <c:pt idx="2">
                  <c:v>财政拨款支出</c:v>
                </c:pt>
                <c:pt idx="3">
                  <c:v>年初预算支出</c:v>
                </c:pt>
              </c:strCache>
            </c:strRef>
          </c:cat>
          <c:val>
            <c:numRef>
              <c:f>[工作簿1]Sheet1!$G$23:$J$23</c:f>
              <c:numCache>
                <c:formatCode>General</c:formatCode>
                <c:ptCount val="4"/>
                <c:pt idx="0">
                  <c:v>8288.14585800001</c:v>
                </c:pt>
                <c:pt idx="1">
                  <c:v>4160.46</c:v>
                </c:pt>
                <c:pt idx="2">
                  <c:v>6090.130768</c:v>
                </c:pt>
                <c:pt idx="3">
                  <c:v>4160.46</c:v>
                </c:pt>
              </c:numCache>
            </c:numRef>
          </c:val>
        </c:ser>
        <c:dLbls>
          <c:showLegendKey val="0"/>
          <c:showVal val="1"/>
          <c:showCatName val="0"/>
          <c:showSerName val="0"/>
          <c:showPercent val="0"/>
          <c:showBubbleSize val="0"/>
        </c:dLbls>
        <c:gapWidth val="450"/>
        <c:overlap val="-50"/>
        <c:axId val="66250240"/>
        <c:axId val="66251776"/>
      </c:barChart>
      <c:catAx>
        <c:axId val="66250240"/>
        <c:scaling>
          <c:orientation val="minMax"/>
        </c:scaling>
        <c:delete val="0"/>
        <c:axPos val="b"/>
        <c:numFmt formatCode="General" sourceLinked="1"/>
        <c:majorTickMark val="none"/>
        <c:minorTickMark val="none"/>
        <c:tickLblPos val="nextTo"/>
        <c:spPr>
          <a:noFill/>
          <a:ln w="76200" cap="rnd" cmpd="sng" algn="ctr">
            <a:noFill/>
            <a:prstDash val="solid"/>
            <a:round/>
          </a:ln>
          <a:effectLst/>
        </c:spPr>
        <c:txPr>
          <a:bodyPr rot="-60000000" spcFirstLastPara="0" vertOverflow="ellipsis" vert="horz" wrap="square" anchor="ctr" anchorCtr="1" forceAA="0"/>
          <a:lstStyle/>
          <a:p>
            <a:pPr>
              <a:defRPr lang="zh-CN" sz="900" b="0" i="0" u="none" strike="noStrike" kern="1200" baseline="0">
                <a:solidFill>
                  <a:schemeClr val="tx1">
                    <a:lumMod val="65000"/>
                    <a:lumOff val="35000"/>
                  </a:schemeClr>
                </a:solidFill>
                <a:latin typeface="+mn-lt"/>
                <a:ea typeface="+mn-ea"/>
                <a:cs typeface="+mn-cs"/>
              </a:defRPr>
            </a:pPr>
          </a:p>
        </c:txPr>
        <c:crossAx val="66251776"/>
        <c:crosses val="autoZero"/>
        <c:auto val="1"/>
        <c:lblAlgn val="ctr"/>
        <c:lblOffset val="0"/>
        <c:tickMarkSkip val="10"/>
        <c:noMultiLvlLbl val="0"/>
      </c:catAx>
      <c:valAx>
        <c:axId val="66251776"/>
        <c:scaling>
          <c:orientation val="minMax"/>
        </c:scaling>
        <c:delete val="1"/>
        <c:axPos val="l"/>
        <c:numFmt formatCode="General" sourceLinked="1"/>
        <c:majorTickMark val="none"/>
        <c:minorTickMark val="none"/>
        <c:tickLblPos val="none"/>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250240"/>
        <c:crosses val="autoZero"/>
        <c:crossBetween val="between"/>
      </c:valAx>
      <c:spPr>
        <a:noFill/>
        <a:ln>
          <a:noFill/>
        </a:ln>
        <a:effectLst/>
      </c:spPr>
    </c:plotArea>
    <c:legend>
      <c:legendPos val="t"/>
      <c:layout>
        <c:manualLayout>
          <c:xMode val="edge"/>
          <c:yMode val="edge"/>
          <c:x val="0.302385146924798"/>
          <c:y val="0.147051376597837"/>
          <c:w val="0.376517921226166"/>
          <c:h val="0.0752612726506532"/>
        </c:manualLayout>
      </c:layout>
      <c:overlay val="0"/>
      <c:spPr>
        <a:noFill/>
        <a:ln>
          <a:noFill/>
        </a:ln>
        <a:effectLst/>
      </c:spPr>
      <c:txPr>
        <a:bodyPr rot="0" spcFirstLastPara="0" vertOverflow="ellipsis" vert="horz" wrap="square" anchor="ctr" anchorCtr="1" forceAA="0"/>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a:outerShdw blurRad="63500" dist="37357" dir="2700000" sx="0" sy="0" rotWithShape="0">
        <a:scrgbClr r="0" g="0" b="0"/>
      </a:outerShdw>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0" i="0" u="none" strike="noStrike" kern="1200" cap="none" spc="20" baseline="0">
                <a:solidFill>
                  <a:schemeClr val="tx1">
                    <a:lumMod val="50000"/>
                    <a:lumOff val="50000"/>
                  </a:schemeClr>
                </a:solidFill>
                <a:latin typeface="+mn-lt"/>
                <a:ea typeface="+mn-ea"/>
                <a:cs typeface="+mn-cs"/>
              </a:defRPr>
            </a:pPr>
            <a:r>
              <a:t>支出构成</a:t>
            </a:r>
          </a:p>
        </c:rich>
      </c:tx>
      <c:layout/>
      <c:overlay val="0"/>
      <c:spPr>
        <a:noFill/>
        <a:ln>
          <a:noFill/>
        </a:ln>
        <a:effectLst/>
      </c:spPr>
    </c:title>
    <c:autoTitleDeleted val="0"/>
    <c:plotArea>
      <c:layout>
        <c:manualLayout>
          <c:layoutTarget val="inner"/>
          <c:xMode val="edge"/>
          <c:yMode val="edge"/>
          <c:x val="0.280079108347929"/>
          <c:y val="0.167909128415804"/>
          <c:w val="0.444810671211189"/>
          <c:h val="0.742342892757135"/>
        </c:manualLayout>
      </c:layout>
      <c:pieChart>
        <c:varyColors val="1"/>
        <c:ser>
          <c:idx val="0"/>
          <c:order val="0"/>
          <c:spPr/>
          <c:explosion val="0"/>
          <c:dPt>
            <c:idx val="0"/>
            <c:bubble3D val="0"/>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c:spPr>
          </c:dPt>
          <c:dPt>
            <c:idx val="1"/>
            <c:bubble3D val="0"/>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9525" cap="flat" cmpd="sng" algn="ctr">
                <a:solidFill>
                  <a:schemeClr val="accent2">
                    <a:shade val="95000"/>
                  </a:schemeClr>
                </a:solidFill>
                <a:round/>
              </a:ln>
              <a:effectLst/>
            </c:spPr>
          </c:dPt>
          <c:dPt>
            <c:idx val="2"/>
            <c:bubble3D val="0"/>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w="9525" cap="flat" cmpd="sng" algn="ctr">
                <a:solidFill>
                  <a:schemeClr val="accent3">
                    <a:shade val="95000"/>
                  </a:schemeClr>
                </a:solidFill>
                <a:round/>
              </a:ln>
              <a:effectLst/>
            </c:spPr>
          </c:dPt>
          <c:dPt>
            <c:idx val="3"/>
            <c:bubble3D val="0"/>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w="9525" cap="flat" cmpd="sng" algn="ctr">
                <a:solidFill>
                  <a:schemeClr val="accent4">
                    <a:shade val="95000"/>
                  </a:schemeClr>
                </a:solidFill>
                <a:round/>
              </a:ln>
              <a:effectLst/>
            </c:spPr>
          </c:dPt>
          <c:dPt>
            <c:idx val="4"/>
            <c:bubble3D val="0"/>
            <c:explosion val="45"/>
            <c:spPr>
              <a:gradFill rotWithShape="1">
                <a:gsLst>
                  <a:gs pos="0">
                    <a:schemeClr val="accent5">
                      <a:lumMod val="110000"/>
                      <a:satMod val="105000"/>
                      <a:tint val="67000"/>
                    </a:schemeClr>
                  </a:gs>
                  <a:gs pos="50000">
                    <a:schemeClr val="accent5">
                      <a:lumMod val="105000"/>
                      <a:satMod val="103000"/>
                      <a:tint val="73000"/>
                    </a:schemeClr>
                  </a:gs>
                  <a:gs pos="100000">
                    <a:schemeClr val="accent5">
                      <a:lumMod val="105000"/>
                      <a:satMod val="109000"/>
                      <a:tint val="81000"/>
                    </a:schemeClr>
                  </a:gs>
                </a:gsLst>
                <a:lin ang="5400000" scaled="0"/>
              </a:gradFill>
              <a:ln w="9525" cap="flat" cmpd="sng" algn="ctr">
                <a:solidFill>
                  <a:schemeClr val="accent5">
                    <a:shade val="95000"/>
                  </a:schemeClr>
                </a:solidFill>
                <a:round/>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65000"/>
                        <a:lumOff val="35000"/>
                      </a:schemeClr>
                    </a:solidFill>
                    <a:latin typeface="+mn-lt"/>
                    <a:ea typeface="+mn-ea"/>
                    <a:cs typeface="+mn-cs"/>
                  </a:defRPr>
                </a:pPr>
              </a:p>
            </c:txPr>
            <c:dLblPos val="inEnd"/>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[工作簿1]Sheet1!$G$23:$K$23</c:f>
              <c:strCache>
                <c:ptCount val="5"/>
                <c:pt idx="0">
                  <c:v>社会保障和就业</c:v>
                </c:pt>
                <c:pt idx="1">
                  <c:v>卫生健康</c:v>
                </c:pt>
                <c:pt idx="2">
                  <c:v>城乡社区</c:v>
                </c:pt>
                <c:pt idx="3">
                  <c:v>农林水</c:v>
                </c:pt>
                <c:pt idx="4">
                  <c:v>住房保障</c:v>
                </c:pt>
              </c:strCache>
            </c:strRef>
          </c:cat>
          <c:val>
            <c:numRef>
              <c:f>[工作簿1]Sheet1!$G$24:$K$24</c:f>
              <c:numCache>
                <c:formatCode>General</c:formatCode>
                <c:ptCount val="5"/>
                <c:pt idx="0">
                  <c:v>38.313998</c:v>
                </c:pt>
                <c:pt idx="1">
                  <c:v>8.219712</c:v>
                </c:pt>
                <c:pt idx="2">
                  <c:v>15.954</c:v>
                </c:pt>
                <c:pt idx="3">
                  <c:v>6010.074558</c:v>
                </c:pt>
                <c:pt idx="4">
                  <c:v>17.5685</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b"/>
      <c:layout>
        <c:manualLayout>
          <c:xMode val="edge"/>
          <c:yMode val="edge"/>
          <c:x val="0.00416666666666667"/>
          <c:y val="0.915972222222222"/>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50000"/>
                  <a:lumOff val="50000"/>
                </a:schemeClr>
              </a:solidFill>
              <a:latin typeface="+mn-lt"/>
              <a:ea typeface="+mn-ea"/>
              <a:cs typeface="+mn-cs"/>
            </a:defRPr>
          </a:pPr>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acrossLinear" id="2">
  <a:schemeClr val="accent1"/>
  <a:schemeClr val="accent2"/>
  <a:schemeClr val="accent3"/>
  <a:schemeClr val="accent4"/>
  <a:schemeClr val="accent5"/>
  <a:schemeClr val="accent6"/>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4">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fillRef idx="2">
      <cs:styleClr val="auto"/>
    </cs:fillRef>
    <cs:effectRef idx="1"/>
    <cs:fontRef idx="minor">
      <a:schemeClr val="dk1"/>
    </cs:fontRef>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2119"/>
    <customShpInfo spid="_x0000_s2120"/>
    <customShpInfo spid="_x0000_s2121"/>
    <customShpInfo spid="_x0000_s2115"/>
    <customShpInfo spid="_x0000_s2116"/>
    <customShpInfo spid="_x0000_s2117"/>
    <customShpInfo spid="_x0000_s2118"/>
    <customShpInfo spid="_x0000_s2099"/>
    <customShpInfo spid="_x0000_s2098"/>
    <customShpInfo spid="_x0000_s2097"/>
    <customShpInfo spid="_x0000_s2096"/>
    <customShpInfo spid="_x0000_s2095"/>
    <customShpInfo spid="_x0000_s2094"/>
    <customShpInfo spid="_x0000_s2093"/>
    <customShpInfo spid="_x0000_s2092"/>
    <customShpInfo spid="_x0000_s2100"/>
    <customShpInfo spid="_x0000_s2091"/>
    <customShpInfo spid="_x0000_s2090"/>
    <customShpInfo spid="_x0000_s2089"/>
    <customShpInfo spid="_x0000_s2088"/>
    <customShpInfo spid="_x0000_s2087"/>
    <customShpInfo spid="_x0000_s2086"/>
    <customShpInfo spid="_x0000_s2085"/>
    <customShpInfo spid="_x0000_s2076"/>
    <customShpInfo spid="_x0000_s2075"/>
    <customShpInfo spid="_x0000_s2074"/>
    <customShpInfo spid="_x0000_s2073"/>
    <customShpInfo spid="_x0000_s2072"/>
    <customShpInfo spid="_x0000_s2071"/>
    <customShpInfo spid="_x0000_s2070"/>
    <customShpInfo spid="_x0000_s2084"/>
    <customShpInfo spid="_x0000_s2083"/>
    <customShpInfo spid="_x0000_s2082"/>
    <customShpInfo spid="_x0000_s2081"/>
    <customShpInfo spid="_x0000_s2080"/>
    <customShpInfo spid="_x0000_s2079"/>
    <customShpInfo spid="_x0000_s2078"/>
    <customShpInfo spid="_x0000_s2069"/>
    <customShpInfo spid="_x0000_s2077"/>
    <customShpInfo spid="_x0000_s2068"/>
    <customShpInfo spid="_x0000_s2067"/>
    <customShpInfo spid="_x0000_s2066"/>
    <customShpInfo spid="_x0000_s2065"/>
    <customShpInfo spid="_x0000_s2064"/>
    <customShpInfo spid="_x0000_s2056"/>
    <customShpInfo spid="_x0000_s2055"/>
    <customShpInfo spid="_x0000_s2054"/>
    <customShpInfo spid="_x0000_s2053"/>
    <customShpInfo spid="_x0000_s2052"/>
    <customShpInfo spid="_x0000_s2051"/>
    <customShpInfo spid="_x0000_s2050"/>
    <customShpInfo spid="_x0000_s2063"/>
    <customShpInfo spid="_x0000_s2062"/>
    <customShpInfo spid="_x0000_s2061"/>
    <customShpInfo spid="_x0000_s2060"/>
    <customShpInfo spid="_x0000_s2059"/>
    <customShpInfo spid="_x0000_s2058"/>
    <customShpInfo spid="_x0000_s2057"/>
    <customShpInfo spid="_x0000_s2049"/>
    <customShpInfo spid="_x0000_s1054"/>
    <customShpInfo spid="_x0000_s1053"/>
    <customShpInfo spid="_x0000_s1062"/>
    <customShpInfo spid="_x0000_s1058"/>
    <customShpInfo spid="_x0000_s1055"/>
    <customShpInfo spid="_x0000_s1056"/>
    <customShpInfo spid="_x0000_s1057"/>
    <customShpInfo spid="_x0000_s1059"/>
    <customShpInfo spid="_x0000_s1060"/>
    <customShpInfo spid="_x0000_s1061"/>
    <customShpInfo spid="_x0000_s1063"/>
    <customShpInfo spid="_x0000_s1031"/>
    <customShpInfo spid="_x0000_s1030"/>
    <customShpInfo spid="_x0000_s1029"/>
    <customShpInfo spid="_x0000_s1028"/>
    <customShpInfo spid="_x0000_s1064"/>
    <customShpInfo spid="_x0000_s1027"/>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EFE8E99-E004-40DD-81AD-C46042B641C2}">
  <ds:schemaRefs/>
</ds:datastoreItem>
</file>

<file path=docProps/app.xml><?xml version="1.0" encoding="utf-8"?>
<Properties xmlns="http://schemas.openxmlformats.org/officeDocument/2006/extended-properties" xmlns:vt="http://schemas.openxmlformats.org/officeDocument/2006/docPropsVTypes">
  <Template>简约文档封面模板.docx</Template>
  <Company>Microsoft</Company>
  <Pages>37</Pages>
  <Words>7310</Words>
  <Characters>902</Characters>
  <Lines>7</Lines>
  <Paragraphs>16</Paragraphs>
  <TotalTime>4</TotalTime>
  <ScaleCrop>false</ScaleCrop>
  <LinksUpToDate>false</LinksUpToDate>
  <CharactersWithSpaces>8196</CharactersWithSpaces>
  <Application>WPS Office_11.1.0.10228_F1E327BC-269C-435d-A152-05C5408002CA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Administrator</cp:lastModifiedBy>
  <cp:lastPrinted>2020-07-30T02:37:00Z</cp:lastPrinted>
  <dcterms:modified xsi:type="dcterms:W3CDTF">2021-06-16T16:11:21Z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2052-11.1.0.10228</vt:lpwstr>
  </property>
  <property fmtid="{D5CDD505-2E9C-101B-9397-08002B2CF9AE}" pid="3" name="ICV">
    <vt:lpwstr>3E462C9F801340DA9F0565B888E2CE0D</vt:lpwstr>
  </property>
</Properties>
</file>