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w:rPr>
          <w:rFonts w:hint="eastAsia" w:ascii="黑体" w:hAnsi="Times New Roman" w:eastAsia="黑体" w:cs="Times New Roman"/>
          <w:sz w:val="48"/>
          <w:szCs w:val="48"/>
          <w:lang w:eastAsia="zh-CN"/>
        </w:rPr>
        <w:drawing>
          <wp:anchor distT="0" distB="0" distL="114300" distR="114300" simplePos="0" relativeHeight="251696128" behindDoc="1" locked="0" layoutInCell="1" allowOverlap="1">
            <wp:simplePos x="0" y="0"/>
            <wp:positionH relativeFrom="column">
              <wp:posOffset>54610</wp:posOffset>
            </wp:positionH>
            <wp:positionV relativeFrom="paragraph">
              <wp:posOffset>-14605</wp:posOffset>
            </wp:positionV>
            <wp:extent cx="8034020" cy="3526155"/>
            <wp:effectExtent l="0" t="0" r="5080" b="17145"/>
            <wp:wrapNone/>
            <wp:docPr id="4" name="图片 4"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片1"/>
                    <pic:cNvPicPr>
                      <a:picLocks noChangeAspect="1"/>
                    </pic:cNvPicPr>
                  </pic:nvPicPr>
                  <pic:blipFill>
                    <a:blip r:embed="rId27"/>
                    <a:stretch>
                      <a:fillRect/>
                    </a:stretch>
                  </pic:blipFill>
                  <pic:spPr>
                    <a:xfrm>
                      <a:off x="0" y="0"/>
                      <a:ext cx="8034020" cy="3526155"/>
                    </a:xfrm>
                    <a:prstGeom prst="rect">
                      <a:avLst/>
                    </a:prstGeom>
                  </pic:spPr>
                </pic:pic>
              </a:graphicData>
            </a:graphic>
          </wp:anchor>
        </w:drawing>
      </w: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hint="eastAsia" w:ascii="楷体_GB2312" w:hAnsi="楷体_GB2312" w:eastAsia="楷体_GB2312" w:cs="楷体_GB2312"/>
                      <w:color w:val="000000" w:themeColor="text1"/>
                      <w:kern w:val="0"/>
                      <w:sz w:val="44"/>
                      <w:szCs w:val="44"/>
                      <w:lang w:val="en-US" w:eastAsia="zh-CN"/>
                    </w:rPr>
                  </w:pPr>
                  <w:r>
                    <w:rPr>
                      <w:rFonts w:hint="eastAsia" w:ascii="楷体_GB2312" w:hAnsi="楷体_GB2312" w:eastAsia="楷体_GB2312" w:cs="楷体_GB2312"/>
                      <w:color w:val="000000" w:themeColor="text1"/>
                      <w:kern w:val="0"/>
                      <w:sz w:val="44"/>
                      <w:szCs w:val="44"/>
                    </w:rPr>
                    <w:t>二〇二〇年</w:t>
                  </w:r>
                  <w:r>
                    <w:rPr>
                      <w:rFonts w:hint="eastAsia" w:ascii="楷体_GB2312" w:hAnsi="楷体_GB2312" w:eastAsia="楷体_GB2312" w:cs="楷体_GB2312"/>
                      <w:color w:val="000000" w:themeColor="text1"/>
                      <w:kern w:val="0"/>
                      <w:sz w:val="44"/>
                      <w:szCs w:val="44"/>
                      <w:lang w:val="en-US" w:eastAsia="zh-CN"/>
                    </w:rPr>
                    <w:t>十</w:t>
                  </w:r>
                  <w:r>
                    <w:rPr>
                      <w:rFonts w:hint="eastAsia" w:ascii="楷体_GB2312" w:hAnsi="楷体_GB2312" w:eastAsia="楷体_GB2312" w:cs="楷体_GB2312"/>
                      <w:color w:val="000000" w:themeColor="text1"/>
                      <w:kern w:val="0"/>
                      <w:sz w:val="44"/>
                      <w:szCs w:val="44"/>
                    </w:rPr>
                    <w:t>月</w:t>
                  </w:r>
                  <w:r>
                    <w:rPr>
                      <w:rFonts w:hint="eastAsia" w:ascii="楷体_GB2312" w:hAnsi="楷体_GB2312" w:eastAsia="楷体_GB2312" w:cs="楷体_GB2312"/>
                      <w:color w:val="000000" w:themeColor="text1"/>
                      <w:kern w:val="0"/>
                      <w:sz w:val="44"/>
                      <w:szCs w:val="44"/>
                      <w:lang w:eastAsia="zh-CN"/>
                    </w:rPr>
                    <w:t>九日</w:t>
                  </w:r>
                </w:p>
              </w:txbxContent>
            </v:textbox>
          </v:shape>
        </w:pict>
      </w:r>
      <w:r>
        <w:pict>
          <v:group id="_x0000_s1046" o:spid="_x0000_s1046"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43" o:spid="_x0000_s1043" o:spt="203" style="position:absolute;left:0pt;margin-left:-2.5pt;margin-top:0pt;height:308.5pt;width:600.25pt;z-index:-251649024;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4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44" o:spid="_x0000_s1044"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42"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Pr>
        <w:ind w:firstLine="2160" w:firstLineChars="300"/>
        <w:jc w:val="left"/>
        <w:rPr>
          <w:rFonts w:hint="eastAsia" w:ascii="思源黑体 HW Bold" w:hAnsi="思源黑体 HW Bold" w:eastAsia="思源黑体 HW Bold"/>
          <w:color w:val="000000" w:themeColor="text1"/>
          <w:kern w:val="24"/>
          <w:sz w:val="72"/>
          <w:szCs w:val="72"/>
          <w:lang w:val="en-US" w:eastAsia="zh-CN"/>
        </w:rPr>
      </w:pPr>
    </w:p>
    <w:p>
      <w:pPr>
        <w:ind w:firstLine="2160" w:firstLineChars="300"/>
        <w:jc w:val="left"/>
        <w:rPr>
          <w:rFonts w:hint="eastAsia" w:ascii="思源黑体 HW Bold" w:hAnsi="思源黑体 HW Bold" w:eastAsia="思源黑体 HW Bold"/>
          <w:color w:val="000000" w:themeColor="text1"/>
          <w:kern w:val="24"/>
          <w:sz w:val="72"/>
          <w:szCs w:val="72"/>
          <w:lang w:val="en-US" w:eastAsia="zh-CN"/>
        </w:rPr>
      </w:pPr>
    </w:p>
    <w:p>
      <w:pPr>
        <w:ind w:firstLine="2160" w:firstLineChars="300"/>
        <w:jc w:val="left"/>
        <w:rPr>
          <w:rFonts w:hint="eastAsia" w:ascii="思源黑体 HW Bold" w:hAnsi="思源黑体 HW Bold" w:eastAsia="思源黑体 HW Bold"/>
          <w:color w:val="000000" w:themeColor="text1"/>
          <w:kern w:val="24"/>
          <w:sz w:val="72"/>
          <w:szCs w:val="72"/>
          <w:lang w:val="en-US" w:eastAsia="zh-CN"/>
        </w:rPr>
      </w:pPr>
    </w:p>
    <w:p>
      <w:pPr>
        <w:ind w:firstLine="630" w:firstLineChars="300"/>
        <w:jc w:val="left"/>
        <w:rPr>
          <w:rFonts w:hint="eastAsia" w:ascii="思源黑体 HW Bold" w:hAnsi="思源黑体 HW Bold" w:eastAsia="思源黑体 HW Bold"/>
          <w:color w:val="000000" w:themeColor="text1"/>
          <w:kern w:val="24"/>
          <w:sz w:val="72"/>
          <w:szCs w:val="72"/>
          <w:lang w:val="en-US" w:eastAsia="zh-CN"/>
        </w:rPr>
      </w:pPr>
      <w:r>
        <w:pict>
          <v:rect id="矩形 14" o:spid="_x0000_s1050" o:spt="1" style="position:absolute;left:0pt;margin-left:-55.4pt;margin-top:40.9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9" o:spt="3" type="#_x0000_t3" style="position:absolute;left:0pt;margin-left:-29.3pt;margin-top:15.5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shape id="椭圆 8" o:spid="_x0000_s1051" o:spt="3" type="#_x0000_t3" style="position:absolute;left:0pt;margin-left:-38.05pt;margin-top:5.2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pPr>
                    <w:jc w:val="center"/>
                  </w:pPr>
                </w:p>
              </w:txbxContent>
            </v:textbox>
          </v:shape>
        </w:pict>
      </w:r>
    </w:p>
    <w:p>
      <w:pPr>
        <w:ind w:firstLine="1687" w:firstLineChars="200"/>
        <w:jc w:val="left"/>
        <w:rPr>
          <w:rFonts w:hint="eastAsia" w:ascii="思源黑体 HW Bold" w:hAnsi="思源黑体 HW Bold" w:eastAsia="思源黑体 HW Bold"/>
          <w:b/>
          <w:bCs/>
          <w:color w:val="000000" w:themeColor="text1"/>
          <w:kern w:val="24"/>
          <w:sz w:val="80"/>
          <w:szCs w:val="80"/>
          <w:lang w:val="en-US" w:eastAsia="zh-CN"/>
        </w:rPr>
      </w:pPr>
      <w:r>
        <w:rPr>
          <w:rFonts w:hint="eastAsia" w:ascii="思源黑体 HW Bold" w:hAnsi="思源黑体 HW Bold" w:eastAsia="思源黑体 HW Bold"/>
          <w:b/>
          <w:bCs/>
          <w:color w:val="000000" w:themeColor="text1"/>
          <w:kern w:val="24"/>
          <w:sz w:val="84"/>
          <w:szCs w:val="84"/>
          <w:lang w:val="en-US" w:eastAsia="zh-CN"/>
        </w:rPr>
        <w:t>部门公开决算文本</w:t>
      </w:r>
    </w:p>
    <w:p>
      <w:pPr>
        <w:ind w:firstLine="1840" w:firstLineChars="200"/>
        <w:jc w:val="left"/>
        <w:rPr>
          <w:rFonts w:hint="eastAsia" w:ascii="思源黑体 HW Bold" w:hAnsi="思源黑体 HW Bold" w:eastAsia="思源黑体 HW Bold"/>
          <w:color w:val="000000" w:themeColor="text1"/>
          <w:kern w:val="24"/>
          <w:sz w:val="92"/>
          <w:szCs w:val="92"/>
          <w:lang w:val="en-US" w:eastAsia="zh-CN"/>
        </w:rPr>
      </w:pPr>
    </w:p>
    <w:p>
      <w:pPr>
        <w:ind w:firstLine="2160" w:firstLineChars="300"/>
        <w:jc w:val="left"/>
        <w:rPr>
          <w:rFonts w:hint="eastAsia" w:ascii="思源黑体 HW Bold" w:hAnsi="思源黑体 HW Bold" w:eastAsia="思源黑体 HW Bold"/>
          <w:color w:val="000000" w:themeColor="text1"/>
          <w:kern w:val="24"/>
          <w:sz w:val="72"/>
          <w:szCs w:val="72"/>
          <w:lang w:val="en-US" w:eastAsia="zh-CN"/>
        </w:rPr>
      </w:pPr>
      <w:r>
        <w:rPr>
          <w:rFonts w:hint="eastAsia" w:ascii="思源黑体 HW Bold" w:hAnsi="思源黑体 HW Bold" w:eastAsia="思源黑体 HW Bold"/>
          <w:color w:val="000000" w:themeColor="text1"/>
          <w:kern w:val="24"/>
          <w:sz w:val="72"/>
          <w:szCs w:val="72"/>
          <w:lang w:val="en-US" w:eastAsia="zh-CN"/>
        </w:rPr>
        <w:t xml:space="preserve"> </w:t>
      </w:r>
    </w:p>
    <w:p>
      <w:pPr>
        <w:jc w:val="center"/>
        <w:rPr>
          <w:rFonts w:ascii="黑体" w:hAnsi="黑体" w:eastAsia="黑体" w:cs="黑体"/>
          <w:sz w:val="56"/>
          <w:szCs w:val="72"/>
        </w:rPr>
      </w:pPr>
    </w:p>
    <w:p>
      <w:pPr>
        <w:jc w:val="center"/>
        <w:rPr>
          <w:rFonts w:ascii="黑体" w:hAnsi="黑体" w:eastAsia="黑体" w:cs="黑体"/>
          <w:sz w:val="56"/>
          <w:szCs w:val="72"/>
        </w:rPr>
      </w:pPr>
    </w:p>
    <w:p>
      <w:pPr>
        <w:rPr>
          <w:rFonts w:hint="eastAsia" w:ascii="黑体" w:hAnsi="Times New Roman" w:eastAsia="黑体" w:cs="Times New Roman"/>
          <w:sz w:val="48"/>
          <w:szCs w:val="48"/>
          <w:lang w:eastAsia="zh-CN"/>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高邑县应急管理局</w:t>
      </w:r>
    </w:p>
    <w:p>
      <w:pPr>
        <w:snapToGrid w:val="0"/>
        <w:jc w:val="center"/>
        <w:rPr>
          <w:rFonts w:hint="default" w:ascii="楷体_GB2312" w:hAnsi="楷体_GB2312" w:eastAsia="楷体_GB2312" w:cs="楷体_GB2312"/>
          <w:color w:val="000000" w:themeColor="text1"/>
          <w:kern w:val="0"/>
          <w:sz w:val="44"/>
          <w:szCs w:val="44"/>
          <w:lang w:val="en-US" w:eastAsia="zh-CN"/>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w:t>
      </w:r>
      <w:r>
        <w:rPr>
          <w:rFonts w:hint="eastAsia" w:ascii="楷体_GB2312" w:hAnsi="楷体_GB2312" w:eastAsia="楷体_GB2312" w:cs="楷体_GB2312"/>
          <w:color w:val="000000" w:themeColor="text1"/>
          <w:kern w:val="0"/>
          <w:sz w:val="44"/>
          <w:szCs w:val="44"/>
          <w:lang w:val="en-US" w:eastAsia="zh-CN"/>
        </w:rPr>
        <w:t>十</w:t>
      </w:r>
      <w:r>
        <w:rPr>
          <w:rFonts w:hint="eastAsia" w:ascii="楷体_GB2312" w:hAnsi="楷体_GB2312" w:eastAsia="楷体_GB2312" w:cs="楷体_GB2312"/>
          <w:color w:val="000000" w:themeColor="text1"/>
          <w:kern w:val="0"/>
          <w:sz w:val="44"/>
          <w:szCs w:val="44"/>
        </w:rPr>
        <w:t>月</w:t>
      </w:r>
    </w:p>
    <w:p>
      <w:pPr>
        <w:widowControl/>
        <w:spacing w:line="600" w:lineRule="exact"/>
        <w:jc w:val="left"/>
        <w:rPr>
          <w:rFonts w:ascii="黑体" w:hAnsi="黑体" w:eastAsia="黑体" w:cs="黑体"/>
          <w:bCs/>
          <w:sz w:val="32"/>
          <w:szCs w:val="32"/>
          <w:highlight w:val="yellow"/>
        </w:rPr>
      </w:pPr>
    </w:p>
    <w:p>
      <w:pPr>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r>
        <w:rPr>
          <w:sz w:val="72"/>
        </w:rPr>
        <w:pict>
          <v:shape id="_x0000_s1041" o:spid="_x0000_s1041"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color2="#FFFFFF" focussize="0,0"/>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（一）负责应急管理工作。指导全县各级各部门应对安全生产类、自然灾害类等突发事件和综合防灾减灾救灾工作；负责安全生产综合监督管理和工矿商贸行业安全生产监督管理工作。</w:t>
      </w:r>
    </w:p>
    <w:p>
      <w:pPr>
        <w:spacing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（二）贯彻落实应急管理、安全生产等政策规定，组织编制应急体系建设、安全生产和综合防灾减灾规划，组织制定相关具体规程和标准并监督实施。</w:t>
      </w:r>
    </w:p>
    <w:p>
      <w:pPr>
        <w:spacing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spacing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（四）与国家和省、市系统对接，建立完善全县应急管理信息系统，负责管辖范围内的信息传输渠道的规划和布局；建立监测预警和灾情报告制度，健全自然灾害信息资源获取和共享机制，依法统一发布灾情。</w:t>
      </w:r>
    </w:p>
    <w:p>
      <w:pPr>
        <w:spacing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（五）组织协调安全生产类、自然灾害类等突发事件应急救援，综合研判突发事件发展态势并提出应对建议，协助县委、县政府指定的负责同志组织重大灾害应急处置工作。</w:t>
      </w:r>
    </w:p>
    <w:p>
      <w:pPr>
        <w:spacing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（六）统一协调指挥各类应急专业队伍，建立应急协调联动机制，推进指挥平台对接，衔接驻高邑解放军和武警部队参与应急救援工作。</w:t>
      </w:r>
    </w:p>
    <w:p>
      <w:pPr>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（七）统筹应急救援力量建设，负责消防、森林和草原火灾扑救、抗洪抢险、地震和地质灾害救援、生产安全事故救援等专业应急救援力量建设，综合协调应急救援队伍，指导各级及社会应急救援力量建设。</w:t>
      </w:r>
    </w:p>
    <w:p>
      <w:pPr>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（八）组织协调消防工作，指导各级消防监督、火灾预防、火灾扑救等工作。</w:t>
      </w:r>
    </w:p>
    <w:p>
      <w:pPr>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（九）组织协调森林和草原火灾、水旱灾害、地震和地质灾害等防治工作，负责自然灾害综合监测预警工作，会同有关部门做好自然灾害综合风险评估工作。</w:t>
      </w:r>
    </w:p>
    <w:p>
      <w:pPr>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（十）组织协调灾害救助工作，负责灾情核查、损失评估、救灾捐赠工作，管理、分配救灾款物并监督使用。</w:t>
      </w:r>
    </w:p>
    <w:p>
      <w:pPr>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（十一）依法行使安全生产综合监督管理职权，指导协调、监督检查县直有关部门和各乡（镇）政府、县政府派出机构的安全生产工作，组织开展安全生产巡查、考核工作。</w:t>
      </w:r>
    </w:p>
    <w:p>
      <w:pPr>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驻高邑中央企业、省属和市属企业的安全生产工作；负责危险化学品安全监督管理综合工作和烟花爆竹安全生产监督管理工作。</w:t>
      </w:r>
    </w:p>
    <w:p>
      <w:pPr>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（十三）依法开展生产安全事故调查处理，监督事故查处和责任追究落实情况；组织开展自然灾害类突发事件的调查评估工作;指导乡（镇）生产安全事故调查处理。</w:t>
      </w:r>
    </w:p>
    <w:p>
      <w:pPr>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（十四）制定应急物资储备和应急救援装备规划并组织实施，会同县发展和改革局（县粮食和物资储备局）等部门建立健全应急物资信息平台和调拨制度，在救灾时统一调度。</w:t>
      </w:r>
    </w:p>
    <w:p>
      <w:pPr>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（十五）负责应急管理、安全生产宣传教育和培训工作，负责应急管理、安全生产科技成果推广应用和信息化建设工作。</w:t>
      </w:r>
    </w:p>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（十六）负责组织协调、指导监督全县安全生产行政执法工作，组织开展对县属企业的执法检查，组织开展对辖区安全生产重点企业，驻高邑中央企业、省属和市属企业的执法抽查。</w:t>
      </w:r>
    </w:p>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（十七）组织开展应急管理方面的区域交流与合作。</w:t>
      </w:r>
    </w:p>
    <w:p>
      <w:pPr>
        <w:spacing w:line="560" w:lineRule="exact"/>
        <w:rPr>
          <w:rFonts w:ascii="仿宋_GB2312" w:hAnsi="Cambria" w:eastAsia="仿宋_GB2312" w:cs="ArialUnicodeMS"/>
          <w:kern w:val="0"/>
          <w:sz w:val="32"/>
          <w:szCs w:val="32"/>
          <w:highlight w:val="yellow"/>
        </w:rPr>
      </w:pPr>
      <w:r>
        <w:rPr>
          <w:rFonts w:hint="eastAsia" w:ascii="仿宋_GB2312" w:hAnsi="Cambria" w:eastAsia="仿宋_GB2312" w:cs="ArialUnicodeMS"/>
          <w:kern w:val="0"/>
          <w:sz w:val="32"/>
          <w:szCs w:val="32"/>
        </w:rPr>
        <w:t>（十八）完成县委、县政府交办的其他任务。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年度本部门决算汇编范围的独立核算单位（以下简称“单位”）共2个，具体情况如下：</w:t>
      </w:r>
    </w:p>
    <w:tbl>
      <w:tblPr>
        <w:tblStyle w:val="8"/>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高邑县应急管理局(本级)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r>
              <w:rPr>
                <w:rFonts w:hint="eastAsia" w:ascii="仿宋_GB2312" w:eastAsia="仿宋_GB2312" w:cs="ArialUnicodeMS"/>
                <w:kern w:val="0"/>
                <w:sz w:val="28"/>
                <w:szCs w:val="28"/>
              </w:rPr>
              <w:t>高邑县消防大队</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p>
        </w:tc>
      </w:tr>
    </w:tbl>
    <w:p>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6" w:type="default"/>
          <w:pgSz w:w="11906" w:h="16838"/>
          <w:pgMar w:top="2041" w:right="1531" w:bottom="2041" w:left="1531" w:header="851" w:footer="992" w:gutter="0"/>
          <w:pgNumType w:fmt="numberInDash"/>
          <w:cols w:space="0" w:num="1"/>
          <w:titlePg/>
          <w:docGrid w:type="lines" w:linePitch="312" w:charSpace="0"/>
        </w:sectPr>
      </w:pPr>
      <w:r>
        <w:rPr>
          <w:sz w:val="72"/>
        </w:rPr>
        <w:pict>
          <v:shape id="_x0000_s1040" o:spid="_x0000_s1040"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9" o:spid="_x0000_s1039" o:spt="202" type="#_x0000_t202" style="position:absolute;left:0pt;margin-left:-90.8pt;margin-top:4.35pt;height:263.1pt;width:613.65pt;z-index:25168691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color2="#FFFFFF"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本部门2019年度收支总计（含结转和结余）1302.02万元。与2018年度决算相比，收支各增加992.31万元，增长320.4%，主要原因是</w:t>
      </w:r>
      <w:r>
        <w:rPr>
          <w:rFonts w:hint="eastAsia" w:ascii="仿宋_GB2312" w:hAnsi="仿宋_GB2312" w:eastAsia="仿宋_GB2312" w:cs="仿宋_GB2312"/>
          <w:sz w:val="32"/>
          <w:szCs w:val="32"/>
        </w:rPr>
        <w:t>机构改革高邑县消防大队并入</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本部门2019年度本年收入合计1279.07万元，其中：财政拨款收入</w:t>
      </w:r>
      <w:r>
        <w:rPr>
          <w:rFonts w:hint="eastAsia" w:ascii="仿宋_GB2312" w:hAnsi="Times New Roman" w:eastAsia="仿宋_GB2312" w:cs="DengXian-Regular"/>
          <w:sz w:val="32"/>
          <w:szCs w:val="32"/>
          <w:lang w:val="en-US" w:eastAsia="zh-CN"/>
        </w:rPr>
        <w:t>1079.07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84.36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rPr>
        <w:t>政府性基金预算财政拨款收入</w:t>
      </w:r>
      <w:r>
        <w:rPr>
          <w:rFonts w:hint="eastAsia" w:ascii="仿宋_GB2312" w:hAnsi="Times New Roman" w:eastAsia="仿宋_GB2312" w:cs="DengXian-Regular"/>
          <w:sz w:val="32"/>
          <w:szCs w:val="32"/>
          <w:lang w:val="en-US" w:eastAsia="zh-CN"/>
        </w:rPr>
        <w:t>200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15.64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color w:val="auto"/>
          <w:sz w:val="32"/>
          <w:szCs w:val="32"/>
        </w:rPr>
        <w:t>事业收入</w:t>
      </w:r>
      <w:r>
        <w:rPr>
          <w:rFonts w:hint="eastAsia" w:ascii="仿宋_GB2312" w:hAnsi="Times New Roman" w:eastAsia="仿宋_GB2312" w:cs="DengXian-Regular"/>
          <w:color w:val="auto"/>
          <w:sz w:val="32"/>
          <w:szCs w:val="32"/>
          <w:lang w:val="en-US" w:eastAsia="zh-CN"/>
        </w:rPr>
        <w:t>0</w:t>
      </w:r>
      <w:r>
        <w:rPr>
          <w:rFonts w:hint="eastAsia" w:ascii="仿宋_GB2312" w:hAnsi="Times New Roman" w:eastAsia="仿宋_GB2312" w:cs="DengXian-Regular"/>
          <w:color w:val="auto"/>
          <w:sz w:val="32"/>
          <w:szCs w:val="32"/>
        </w:rPr>
        <w:t>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auto"/>
          <w:sz w:val="32"/>
          <w:szCs w:val="32"/>
        </w:rPr>
        <w:t>；经营收入</w:t>
      </w:r>
      <w:r>
        <w:rPr>
          <w:rFonts w:hint="eastAsia" w:ascii="仿宋_GB2312" w:hAnsi="Times New Roman" w:eastAsia="仿宋_GB2312" w:cs="DengXian-Regular"/>
          <w:color w:val="auto"/>
          <w:sz w:val="32"/>
          <w:szCs w:val="32"/>
          <w:lang w:val="en-US" w:eastAsia="zh-CN"/>
        </w:rPr>
        <w:t>0</w:t>
      </w:r>
      <w:r>
        <w:rPr>
          <w:rFonts w:hint="eastAsia" w:ascii="仿宋_GB2312" w:hAnsi="Times New Roman" w:eastAsia="仿宋_GB2312" w:cs="DengXian-Regular"/>
          <w:color w:val="auto"/>
          <w:sz w:val="32"/>
          <w:szCs w:val="32"/>
        </w:rPr>
        <w:t>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color w:val="auto"/>
          <w:sz w:val="32"/>
          <w:szCs w:val="32"/>
        </w:rPr>
        <w:t>其他收入</w:t>
      </w:r>
      <w:r>
        <w:rPr>
          <w:rFonts w:hint="eastAsia" w:ascii="仿宋_GB2312" w:hAnsi="Times New Roman" w:eastAsia="仿宋_GB2312" w:cs="DengXian-Regular"/>
          <w:color w:val="auto"/>
          <w:sz w:val="32"/>
          <w:szCs w:val="32"/>
          <w:lang w:val="en-US" w:eastAsia="zh-CN"/>
        </w:rPr>
        <w:t>0</w:t>
      </w:r>
      <w:r>
        <w:rPr>
          <w:rFonts w:hint="eastAsia" w:ascii="仿宋_GB2312" w:hAnsi="Times New Roman" w:eastAsia="仿宋_GB2312" w:cs="DengXian-Regular"/>
          <w:color w:val="auto"/>
          <w:sz w:val="32"/>
          <w:szCs w:val="32"/>
        </w:rPr>
        <w:t>万元，占</w:t>
      </w:r>
      <w:r>
        <w:rPr>
          <w:rFonts w:hint="eastAsia" w:ascii="仿宋_GB2312" w:hAnsi="Times New Roman" w:eastAsia="仿宋_GB2312" w:cs="DengXian-Regular"/>
          <w:color w:val="auto"/>
          <w:sz w:val="32"/>
          <w:szCs w:val="32"/>
          <w:lang w:val="en-US" w:eastAsia="zh-CN"/>
        </w:rPr>
        <w:t>0</w:t>
      </w:r>
      <w:r>
        <w:rPr>
          <w:rFonts w:hint="eastAsia" w:ascii="仿宋_GB2312" w:hAnsi="Times New Roman" w:eastAsia="仿宋_GB2312" w:cs="DengXian-Regular"/>
          <w:color w:val="auto"/>
          <w:sz w:val="32"/>
          <w:szCs w:val="32"/>
        </w:rPr>
        <w:t>%。</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420" w:firstLineChars="200"/>
        <w:outlineLvl w:val="1"/>
        <w:rPr>
          <w:rFonts w:ascii="黑体" w:hAnsi="Calibri" w:eastAsia="黑体" w:cs="Times New Roman"/>
          <w:b/>
          <w:bCs/>
          <w:sz w:val="32"/>
          <w:szCs w:val="32"/>
        </w:rPr>
      </w:pPr>
      <w:r>
        <w:drawing>
          <wp:anchor distT="0" distB="0" distL="114300" distR="114300" simplePos="0" relativeHeight="251696128" behindDoc="0" locked="0" layoutInCell="1" allowOverlap="1">
            <wp:simplePos x="0" y="0"/>
            <wp:positionH relativeFrom="column">
              <wp:posOffset>271145</wp:posOffset>
            </wp:positionH>
            <wp:positionV relativeFrom="paragraph">
              <wp:posOffset>-2463165</wp:posOffset>
            </wp:positionV>
            <wp:extent cx="4572000" cy="2743200"/>
            <wp:effectExtent l="4445" t="4445" r="14605" b="14605"/>
            <wp:wrapSquare wrapText="bothSides"/>
            <wp:docPr id="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本部门2019年度本年支出合计1301.68万元，其中：基本支出739.27万元，占56.79%；项目支出562.41万元，占43.2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%。如图所示：</w:t>
      </w:r>
    </w:p>
    <w:p>
      <w:pPr>
        <w:adjustRightInd w:val="0"/>
        <w:snapToGrid w:val="0"/>
        <w:spacing w:line="580" w:lineRule="exact"/>
        <w:ind w:firstLine="1928" w:firstLineChars="600"/>
        <w:rPr>
          <w:rFonts w:hint="eastAsia" w:ascii="黑体" w:hAnsi="Calibri" w:eastAsia="黑体" w:cs="Times New Roman"/>
          <w:b/>
          <w:bCs/>
          <w:sz w:val="32"/>
          <w:szCs w:val="32"/>
        </w:rPr>
      </w:pPr>
    </w:p>
    <w:p>
      <w:pPr>
        <w:adjustRightInd w:val="0"/>
        <w:snapToGrid w:val="0"/>
        <w:spacing w:line="580" w:lineRule="exact"/>
        <w:ind w:firstLine="1928" w:firstLineChars="600"/>
        <w:rPr>
          <w:rFonts w:hint="eastAsia" w:ascii="黑体" w:hAnsi="Calibri" w:eastAsia="黑体" w:cs="Times New Roman"/>
          <w:b/>
          <w:bCs/>
          <w:sz w:val="32"/>
          <w:szCs w:val="32"/>
        </w:rPr>
      </w:pPr>
    </w:p>
    <w:p>
      <w:pPr>
        <w:adjustRightInd w:val="0"/>
        <w:snapToGrid w:val="0"/>
        <w:spacing w:line="580" w:lineRule="exact"/>
        <w:ind w:firstLine="1928" w:firstLineChars="600"/>
        <w:rPr>
          <w:rFonts w:hint="eastAsia" w:ascii="黑体" w:hAnsi="Calibri" w:eastAsia="黑体" w:cs="Times New Roman"/>
          <w:b/>
          <w:bCs/>
          <w:sz w:val="32"/>
          <w:szCs w:val="32"/>
        </w:rPr>
      </w:pPr>
    </w:p>
    <w:p>
      <w:pPr>
        <w:adjustRightInd w:val="0"/>
        <w:snapToGrid w:val="0"/>
        <w:spacing w:line="580" w:lineRule="exact"/>
        <w:ind w:firstLine="1928" w:firstLineChars="600"/>
        <w:rPr>
          <w:rFonts w:hint="eastAsia" w:ascii="黑体" w:hAnsi="Calibri" w:eastAsia="黑体" w:cs="Times New Roman"/>
          <w:b/>
          <w:bCs/>
          <w:sz w:val="32"/>
          <w:szCs w:val="32"/>
        </w:rPr>
      </w:pPr>
    </w:p>
    <w:p>
      <w:pPr>
        <w:adjustRightInd w:val="0"/>
        <w:snapToGrid w:val="0"/>
        <w:spacing w:line="580" w:lineRule="exact"/>
        <w:ind w:firstLine="1928" w:firstLineChars="600"/>
        <w:rPr>
          <w:rFonts w:hint="eastAsia" w:ascii="黑体" w:hAnsi="Calibri" w:eastAsia="黑体" w:cs="Times New Roman"/>
          <w:b/>
          <w:bCs/>
          <w:sz w:val="32"/>
          <w:szCs w:val="32"/>
        </w:rPr>
      </w:pPr>
    </w:p>
    <w:p>
      <w:pPr>
        <w:adjustRightInd w:val="0"/>
        <w:snapToGrid w:val="0"/>
        <w:spacing w:line="580" w:lineRule="exact"/>
        <w:ind w:firstLine="1928" w:firstLineChars="600"/>
        <w:rPr>
          <w:rFonts w:hint="eastAsia" w:ascii="黑体" w:hAnsi="Calibri" w:eastAsia="黑体" w:cs="Times New Roman"/>
          <w:b/>
          <w:bCs/>
          <w:sz w:val="32"/>
          <w:szCs w:val="32"/>
        </w:rPr>
      </w:pPr>
    </w:p>
    <w:p>
      <w:pPr>
        <w:adjustRightInd w:val="0"/>
        <w:snapToGrid w:val="0"/>
        <w:spacing w:line="580" w:lineRule="exact"/>
        <w:ind w:firstLine="1928" w:firstLineChars="600"/>
        <w:rPr>
          <w:rFonts w:hint="eastAsia" w:ascii="黑体" w:hAnsi="Calibri" w:eastAsia="黑体" w:cs="Times New Roman"/>
          <w:b/>
          <w:bCs/>
          <w:sz w:val="32"/>
          <w:szCs w:val="32"/>
        </w:rPr>
      </w:pPr>
    </w:p>
    <w:p>
      <w:pPr>
        <w:adjustRightInd w:val="0"/>
        <w:snapToGrid w:val="0"/>
        <w:spacing w:line="580" w:lineRule="exact"/>
        <w:ind w:firstLine="1928" w:firstLineChars="600"/>
        <w:rPr>
          <w:rFonts w:hint="eastAsia" w:ascii="黑体" w:hAnsi="Calibri" w:eastAsia="黑体" w:cs="Times New Roman"/>
          <w:b/>
          <w:bCs/>
          <w:sz w:val="32"/>
          <w:szCs w:val="32"/>
        </w:rPr>
      </w:pPr>
    </w:p>
    <w:p>
      <w:pPr>
        <w:adjustRightInd w:val="0"/>
        <w:snapToGrid w:val="0"/>
        <w:spacing w:line="580" w:lineRule="exact"/>
        <w:ind w:firstLine="1260" w:firstLineChars="600"/>
        <w:rPr>
          <w:rFonts w:hint="eastAsia" w:ascii="黑体" w:hAnsi="Calibri" w:eastAsia="黑体" w:cs="Times New Roman"/>
          <w:b/>
          <w:bCs/>
          <w:sz w:val="32"/>
          <w:szCs w:val="32"/>
        </w:rPr>
      </w:pPr>
      <w:r>
        <w:drawing>
          <wp:anchor distT="0" distB="0" distL="114300" distR="114300" simplePos="0" relativeHeight="251697152" behindDoc="0" locked="0" layoutInCell="1" allowOverlap="1">
            <wp:simplePos x="0" y="0"/>
            <wp:positionH relativeFrom="column">
              <wp:posOffset>804545</wp:posOffset>
            </wp:positionH>
            <wp:positionV relativeFrom="paragraph">
              <wp:posOffset>-2463165</wp:posOffset>
            </wp:positionV>
            <wp:extent cx="4572000" cy="2743200"/>
            <wp:effectExtent l="4445" t="4445" r="14605" b="14605"/>
            <wp:wrapSquare wrapText="bothSides"/>
            <wp:docPr id="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8" w:firstLineChars="600"/>
        <w:rPr>
          <w:rFonts w:ascii="黑体" w:hAnsi="Calibri" w:eastAsia="黑体" w:cs="Times New Roman"/>
          <w:b/>
          <w:bCs/>
          <w:sz w:val="32"/>
          <w:szCs w:val="32"/>
        </w:rPr>
      </w:pPr>
    </w:p>
    <w:p>
      <w:pPr>
        <w:keepNext/>
        <w:keepLines/>
        <w:snapToGrid w:val="0"/>
        <w:spacing w:line="580" w:lineRule="exact"/>
        <w:ind w:firstLine="643" w:firstLineChars="200"/>
        <w:outlineLvl w:val="1"/>
        <w:rPr>
          <w:rFonts w:hint="eastAsia" w:ascii="黑体" w:hAnsi="Calibri" w:eastAsia="黑体" w:cs="Times New Roman"/>
          <w:b/>
          <w:bCs/>
          <w:sz w:val="32"/>
          <w:szCs w:val="32"/>
        </w:rPr>
      </w:pPr>
    </w:p>
    <w:p>
      <w:pPr>
        <w:keepNext/>
        <w:keepLines/>
        <w:snapToGrid w:val="0"/>
        <w:spacing w:line="580" w:lineRule="exact"/>
        <w:ind w:firstLine="643" w:firstLineChars="200"/>
        <w:outlineLvl w:val="1"/>
        <w:rPr>
          <w:rFonts w:hint="eastAsia"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本部门2019年度财政拨款本年收入1279.07万元,比2018年度增加975.48万元，增长321.31%，主要是</w:t>
      </w:r>
      <w:r>
        <w:rPr>
          <w:rFonts w:hint="eastAsia" w:ascii="仿宋_GB2312" w:hAnsi="仿宋_GB2312" w:eastAsia="仿宋_GB2312" w:cs="仿宋_GB2312"/>
          <w:sz w:val="32"/>
          <w:szCs w:val="32"/>
        </w:rPr>
        <w:t>机构改革高邑县消防大队并入</w:t>
      </w:r>
      <w:r>
        <w:rPr>
          <w:rFonts w:hint="eastAsia" w:ascii="仿宋_GB2312" w:hAnsi="Times New Roman" w:eastAsia="仿宋_GB2312" w:cs="DengXian-Regular"/>
          <w:sz w:val="32"/>
          <w:szCs w:val="32"/>
        </w:rPr>
        <w:t>；本年支出1301.68万元，增加1014.93万元，增长353.94%，主要是</w:t>
      </w:r>
      <w:r>
        <w:rPr>
          <w:rFonts w:hint="eastAsia" w:ascii="仿宋_GB2312" w:hAnsi="仿宋_GB2312" w:eastAsia="仿宋_GB2312" w:cs="仿宋_GB2312"/>
          <w:sz w:val="32"/>
          <w:szCs w:val="32"/>
        </w:rPr>
        <w:t>机构改革高邑县消防大队并入</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一般公共预算财政拨款本年收入1079.07万元，比上年增加779.48万元；主要是</w:t>
      </w:r>
      <w:r>
        <w:rPr>
          <w:rFonts w:hint="eastAsia" w:ascii="仿宋_GB2312" w:hAnsi="仿宋_GB2312" w:eastAsia="仿宋_GB2312" w:cs="仿宋_GB2312"/>
          <w:sz w:val="32"/>
          <w:szCs w:val="32"/>
        </w:rPr>
        <w:t>机构改革高邑县消防大队并入</w:t>
      </w:r>
      <w:r>
        <w:rPr>
          <w:rFonts w:hint="eastAsia" w:ascii="仿宋_GB2312" w:hAnsi="Times New Roman" w:eastAsia="仿宋_GB2312" w:cs="DengXian-Regular"/>
          <w:sz w:val="32"/>
          <w:szCs w:val="32"/>
        </w:rPr>
        <w:t>；本年支出1101.68万元，比上年增加818.93万元，增长289.63%，主要是</w:t>
      </w:r>
      <w:r>
        <w:rPr>
          <w:rFonts w:hint="eastAsia" w:ascii="仿宋_GB2312" w:hAnsi="仿宋_GB2312" w:eastAsia="仿宋_GB2312" w:cs="仿宋_GB2312"/>
          <w:sz w:val="32"/>
          <w:szCs w:val="32"/>
        </w:rPr>
        <w:t>机构改革高邑县消防大队并入</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政府性基金预算财政拨款本年收入200万元，比上年增加200万元，主要原因是</w:t>
      </w:r>
      <w:r>
        <w:rPr>
          <w:rFonts w:hint="eastAsia" w:ascii="仿宋_GB2312" w:hAnsi="仿宋_GB2312" w:eastAsia="仿宋_GB2312" w:cs="仿宋_GB2312"/>
          <w:sz w:val="32"/>
          <w:szCs w:val="32"/>
        </w:rPr>
        <w:t>机构改革高邑县消防大队并入，新建一级消防站项目资金200万元</w:t>
      </w:r>
      <w:r>
        <w:rPr>
          <w:rFonts w:hint="eastAsia" w:ascii="仿宋_GB2312" w:hAnsi="Times New Roman" w:eastAsia="仿宋_GB2312" w:cs="DengXian-Regular"/>
          <w:sz w:val="32"/>
          <w:szCs w:val="32"/>
        </w:rPr>
        <w:t>；本年支出200万元，比上年增加200万元，主要是</w:t>
      </w:r>
      <w:r>
        <w:rPr>
          <w:rFonts w:hint="eastAsia" w:ascii="仿宋_GB2312" w:hAnsi="仿宋_GB2312" w:eastAsia="仿宋_GB2312" w:cs="仿宋_GB2312"/>
          <w:sz w:val="32"/>
          <w:szCs w:val="32"/>
        </w:rPr>
        <w:t>机构改革高邑县消防大队并入，新建一级消防站项目资金200万元。</w:t>
      </w:r>
    </w:p>
    <w:p>
      <w:pPr>
        <w:numPr>
          <w:numId w:val="0"/>
        </w:numPr>
        <w:adjustRightInd w:val="0"/>
        <w:snapToGrid w:val="0"/>
        <w:spacing w:line="580" w:lineRule="exact"/>
        <w:rPr>
          <w:rFonts w:hint="eastAsia" w:ascii="仿宋_GB2312" w:hAnsi="Times New Roman" w:eastAsia="仿宋_GB2312" w:cs="DengXian-Regular"/>
          <w:sz w:val="32"/>
          <w:szCs w:val="32"/>
        </w:rPr>
      </w:pPr>
    </w:p>
    <w:p>
      <w:pPr>
        <w:adjustRightInd w:val="0"/>
        <w:snapToGrid w:val="0"/>
        <w:spacing w:line="580" w:lineRule="exact"/>
        <w:rPr>
          <w:rFonts w:hint="eastAsia" w:ascii="仿宋_GB2312" w:hAnsi="Times New Roman" w:eastAsia="仿宋_GB2312" w:cs="DengXian-Regular"/>
          <w:sz w:val="32"/>
          <w:szCs w:val="32"/>
        </w:rPr>
      </w:pPr>
      <w:r>
        <w:rPr>
          <w:rFonts w:ascii="仿宋_GB2312" w:hAnsi="Times New Roman" w:eastAsia="仿宋_GB2312" w:cs="DengXian-Regular"/>
          <w:sz w:val="32"/>
          <w:szCs w:val="32"/>
        </w:rPr>
        <w:drawing>
          <wp:anchor distT="0" distB="0" distL="114300" distR="114300" simplePos="0" relativeHeight="251693056" behindDoc="0" locked="0" layoutInCell="1" allowOverlap="1">
            <wp:simplePos x="0" y="0"/>
            <wp:positionH relativeFrom="column">
              <wp:posOffset>-166370</wp:posOffset>
            </wp:positionH>
            <wp:positionV relativeFrom="paragraph">
              <wp:posOffset>102235</wp:posOffset>
            </wp:positionV>
            <wp:extent cx="5486400" cy="2990850"/>
            <wp:effectExtent l="4445" t="4445" r="14605" b="14605"/>
            <wp:wrapNone/>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本部门2019年度财政拨款本年收入1279.07万元，完成年初预算的154.17%,比年初预算增加449.4万元，决算数大于预算数主要原因是消防大队57万元购消防车一辆，</w:t>
      </w:r>
      <w:r>
        <w:rPr>
          <w:rFonts w:hint="eastAsia" w:ascii="仿宋_GB2312" w:hAnsi="仿宋_GB2312" w:eastAsia="仿宋_GB2312" w:cs="仿宋_GB2312"/>
          <w:sz w:val="32"/>
          <w:szCs w:val="32"/>
        </w:rPr>
        <w:t>建一级消防站项目资金增加260万元，追加消防经费242.28万元</w:t>
      </w:r>
      <w:r>
        <w:rPr>
          <w:rFonts w:hint="eastAsia" w:ascii="仿宋_GB2312" w:hAnsi="Times New Roman" w:eastAsia="仿宋_GB2312" w:cs="DengXian-Regular"/>
          <w:sz w:val="32"/>
          <w:szCs w:val="32"/>
        </w:rPr>
        <w:t>；本年支出1301.68万元，完成年初预算的156.89%,比年初预算增加472.01万元，决算数大于预算数主要原因是主要是消防大队57万元购消防车一辆，</w:t>
      </w:r>
      <w:r>
        <w:rPr>
          <w:rFonts w:hint="eastAsia" w:ascii="仿宋_GB2312" w:hAnsi="仿宋_GB2312" w:eastAsia="仿宋_GB2312" w:cs="仿宋_GB2312"/>
          <w:sz w:val="32"/>
          <w:szCs w:val="32"/>
        </w:rPr>
        <w:t>建一级消防站项目资金增加260万元，追加消防经费242.28万元</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一般公共预算财政拨款本年收入完成年初预算171.37%，比年初预算增加449.4万元，主要是消防大队57万元购消防车一辆，</w:t>
      </w:r>
      <w:r>
        <w:rPr>
          <w:rFonts w:hint="eastAsia" w:ascii="仿宋_GB2312" w:hAnsi="仿宋_GB2312" w:eastAsia="仿宋_GB2312" w:cs="仿宋_GB2312"/>
          <w:sz w:val="32"/>
          <w:szCs w:val="32"/>
        </w:rPr>
        <w:t>建一级消防站项目资金增加260万元，追加消防经费242.28万元</w:t>
      </w:r>
      <w:r>
        <w:rPr>
          <w:rFonts w:hint="eastAsia" w:ascii="仿宋_GB2312" w:hAnsi="Times New Roman" w:eastAsia="仿宋_GB2312" w:cs="DengXian-Regular"/>
          <w:sz w:val="32"/>
          <w:szCs w:val="32"/>
        </w:rPr>
        <w:t>；支出完成年初预算174.96%，比年初预算增加472.01万元，主要是消防大队57万元购消防车一辆，</w:t>
      </w:r>
      <w:r>
        <w:rPr>
          <w:rFonts w:hint="eastAsia" w:ascii="仿宋_GB2312" w:hAnsi="仿宋_GB2312" w:eastAsia="仿宋_GB2312" w:cs="仿宋_GB2312"/>
          <w:sz w:val="32"/>
          <w:szCs w:val="32"/>
        </w:rPr>
        <w:t>建一级消防站项目资金增加260万元，追加消防经费242.28万元</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政府性基金预算财政拨款本年收入完成年初预算100%，与年初预算持平，主要是消防大队</w:t>
      </w:r>
      <w:r>
        <w:rPr>
          <w:rFonts w:hint="eastAsia" w:ascii="仿宋_GB2312" w:hAnsi="仿宋_GB2312" w:eastAsia="仿宋_GB2312" w:cs="仿宋_GB2312"/>
          <w:sz w:val="32"/>
          <w:szCs w:val="32"/>
        </w:rPr>
        <w:t>建一级消防站</w:t>
      </w:r>
      <w:r>
        <w:rPr>
          <w:rFonts w:hint="eastAsia" w:ascii="仿宋_GB2312" w:hAnsi="Times New Roman" w:eastAsia="仿宋_GB2312" w:cs="DengXian-Regular"/>
          <w:sz w:val="32"/>
          <w:szCs w:val="32"/>
        </w:rPr>
        <w:t>；支出完成年初预算100%，与年初预算持平，主要是消防大队</w:t>
      </w:r>
      <w:r>
        <w:rPr>
          <w:rFonts w:hint="eastAsia" w:ascii="仿宋_GB2312" w:hAnsi="仿宋_GB2312" w:eastAsia="仿宋_GB2312" w:cs="仿宋_GB2312"/>
          <w:sz w:val="32"/>
          <w:szCs w:val="32"/>
        </w:rPr>
        <w:t>建一级消防站</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drawing>
          <wp:anchor distT="0" distB="0" distL="114300" distR="114300" simplePos="0" relativeHeight="251695104" behindDoc="0" locked="0" layoutInCell="1" allowOverlap="1">
            <wp:simplePos x="0" y="0"/>
            <wp:positionH relativeFrom="column">
              <wp:posOffset>429895</wp:posOffset>
            </wp:positionH>
            <wp:positionV relativeFrom="paragraph">
              <wp:posOffset>-2910205</wp:posOffset>
            </wp:positionV>
            <wp:extent cx="5486400" cy="3200400"/>
            <wp:effectExtent l="19050" t="0" r="19050" b="0"/>
            <wp:wrapNone/>
            <wp:docPr id="15"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年度财政拨款支出1301.68万元，主要用于以下方面灾害防治及应急管理（类）支出1037.54万元，占79.71%；卫生健康支出11.61万元，占0.89%；城乡社区（类）支出200万元，占 15.3</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%；社会保障和就业（类）支出 31.04万元，占2.38%；住房保障（类）支出21.49万元，占 1.65%。</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rFonts w:ascii="楷体_GB2312" w:hAnsi="Times New Roman" w:eastAsia="楷体_GB2312" w:cs="DengXian-Bold"/>
          <w:b/>
          <w:bCs/>
          <w:sz w:val="32"/>
          <w:szCs w:val="32"/>
        </w:rPr>
        <w:drawing>
          <wp:anchor distT="0" distB="0" distL="114300" distR="114300" simplePos="0" relativeHeight="251694080" behindDoc="0" locked="0" layoutInCell="1" allowOverlap="1">
            <wp:simplePos x="0" y="0"/>
            <wp:positionH relativeFrom="column">
              <wp:posOffset>287020</wp:posOffset>
            </wp:positionH>
            <wp:positionV relativeFrom="paragraph">
              <wp:posOffset>217170</wp:posOffset>
            </wp:positionV>
            <wp:extent cx="5486400" cy="3200400"/>
            <wp:effectExtent l="19050" t="0" r="19050" b="0"/>
            <wp:wrapSquare wrapText="bothSides"/>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hint="eastAsia"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年度财政拨款基本支出739.27万元，其中：人员经费 250.73万元，主要包括基本工资、津贴补贴、奖金、机关事业单位基本养老保险缴费、职业年金缴费、职工基本医疗保险缴费、住房公积金、医疗费、其他社会保障缴费、其他工资福利支出、生活补助；公用经费 488.54万元，主要包括办公费、印刷费、电费、邮电费、取暖费、差旅费、维修（护）费、专用燃料费、劳务费、公务用车运行维护费、其他交通费用、其他商品和服务支出、办公设备购置、专用设备购置。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本部门2019年度“三公”经费支出共计22.22万元，完成预算的87.48%,较预算减少3.18万元，降低12.52%，主要是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较2018年度增加7.65万元，增长52.51%，主要是</w:t>
      </w:r>
      <w:r>
        <w:rPr>
          <w:rFonts w:hint="eastAsia" w:ascii="仿宋_GB2312" w:hAnsi="仿宋_GB2312" w:eastAsia="仿宋_GB2312" w:cs="仿宋_GB2312"/>
          <w:sz w:val="32"/>
          <w:szCs w:val="32"/>
        </w:rPr>
        <w:t>报废一辆车龄14年的车，因工作需要，经县领导批准，手续齐全，不超编制，购买一辆执法用车</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增长0%,主要是未发生因公出国（境）经费支出；较上年增加0万元，增长0%,主要是未发生因公出国（境）经费支出。</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（二）公务用车购置及运行维护费支出22.22万元。</w:t>
      </w:r>
      <w:r>
        <w:rPr>
          <w:rFonts w:hint="eastAsia" w:ascii="仿宋_GB2312" w:hAnsi="Times New Roman" w:eastAsia="仿宋_GB2312" w:cs="DengXian-Regular"/>
          <w:sz w:val="32"/>
          <w:szCs w:val="32"/>
        </w:rPr>
        <w:t>本部门2019年度公务用车购置及运行维护费较预算减少2.57万元，降低10.37%,主要是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；较上年增加7.65万元，增长52.51%,主要是</w:t>
      </w:r>
      <w:r>
        <w:rPr>
          <w:rFonts w:hint="eastAsia" w:ascii="仿宋_GB2312" w:hAnsi="仿宋_GB2312" w:eastAsia="仿宋_GB2312" w:cs="仿宋_GB2312"/>
          <w:sz w:val="32"/>
          <w:szCs w:val="32"/>
        </w:rPr>
        <w:t>报废一辆车龄14年的车，因工作需要，经县领导批准，手续齐全，不超编制，购买一辆执法用车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本部门2019年度公务用车购置量1辆，发生“公务用车购置”经费支出10.01万元。公务用车购置费支出与预算持平；较上年增加10.01万元，上年未购车,主要是</w:t>
      </w:r>
      <w:r>
        <w:rPr>
          <w:rFonts w:hint="eastAsia" w:ascii="仿宋_GB2312" w:hAnsi="仿宋_GB2312" w:eastAsia="仿宋_GB2312" w:cs="仿宋_GB2312"/>
          <w:sz w:val="32"/>
          <w:szCs w:val="32"/>
        </w:rPr>
        <w:t>报废一辆车龄14年的车，因工作需要，经县领导批准，手续齐全，不超编制，购买一辆执法用车</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本部门2019年度单位公务用车保有量5辆。公车运行维护费支出较预算减少2.58万元，降低17.46%,主要是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；较上年减少2.37万元，降低16.27%，主要是</w:t>
      </w:r>
      <w:r>
        <w:rPr>
          <w:rFonts w:hint="eastAsia" w:ascii="仿宋_GB2312" w:eastAsia="仿宋_GB2312" w:cs="DengXian-Regular"/>
          <w:sz w:val="32"/>
          <w:szCs w:val="32"/>
        </w:rPr>
        <w:t>认真贯彻落实中央“八项规定”精神和厉行节约要求，从严控制经费开支</w:t>
      </w:r>
      <w:r>
        <w:rPr>
          <w:rFonts w:hint="eastAsia" w:ascii="仿宋_GB2312" w:hAnsi="Times New Roman" w:eastAsia="仿宋_GB2312" w:cs="DengXian-Regular"/>
          <w:sz w:val="32"/>
          <w:szCs w:val="32"/>
        </w:rPr>
        <w:t>。</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outlineLvl w:val="9"/>
        <w:rPr>
          <w:rFonts w:hint="eastAsia" w:ascii="仿宋_GB2312" w:hAnsi="Times New Roman" w:eastAsia="仿宋_GB2312" w:cs="DengXian-Regular"/>
          <w:color w:val="auto"/>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本部门2019年度公务接待共0批次、0人次。本年未发生公务接待费支出</w:t>
      </w:r>
      <w:r>
        <w:rPr>
          <w:rFonts w:hint="eastAsia" w:ascii="仿宋_GB2312" w:hAnsi="Times New Roman" w:eastAsia="仿宋_GB2312" w:cs="DengXian-Regular"/>
          <w:sz w:val="32"/>
          <w:szCs w:val="32"/>
          <w:lang w:eastAsia="zh-CN"/>
        </w:rPr>
        <w:t>，较预算减少</w:t>
      </w:r>
      <w:r>
        <w:rPr>
          <w:rFonts w:hint="eastAsia" w:ascii="仿宋_GB2312" w:hAnsi="Times New Roman" w:eastAsia="仿宋_GB2312" w:cs="DengXian-Regular"/>
          <w:sz w:val="32"/>
          <w:szCs w:val="32"/>
          <w:lang w:val="en-US" w:eastAsia="zh-CN"/>
        </w:rPr>
        <w:t>0.61万元，</w:t>
      </w:r>
      <w:r>
        <w:rPr>
          <w:rFonts w:hint="eastAsia" w:ascii="仿宋_GB2312" w:hAnsi="Times New Roman" w:eastAsia="仿宋_GB2312" w:cs="DengXian-Regular"/>
          <w:color w:val="auto"/>
          <w:sz w:val="32"/>
          <w:szCs w:val="32"/>
        </w:rPr>
        <w:t>主要是</w:t>
      </w:r>
      <w:r>
        <w:rPr>
          <w:rFonts w:hint="eastAsia" w:ascii="仿宋_GB2312" w:eastAsia="仿宋_GB2312" w:cs="DengXian-Regular"/>
          <w:sz w:val="32"/>
          <w:szCs w:val="32"/>
          <w:lang w:eastAsia="zh-CN"/>
        </w:rPr>
        <w:t>贯彻落实有关规定，</w:t>
      </w:r>
      <w:r>
        <w:rPr>
          <w:rFonts w:hint="eastAsia" w:ascii="仿宋" w:hAnsi="仿宋" w:eastAsia="仿宋"/>
          <w:color w:val="auto"/>
          <w:sz w:val="32"/>
          <w:szCs w:val="32"/>
        </w:rPr>
        <w:t>严格控制公务接待</w:t>
      </w:r>
      <w:r>
        <w:rPr>
          <w:rFonts w:hint="eastAsia" w:ascii="仿宋_GB2312" w:hAnsi="Times New Roman" w:eastAsia="仿宋_GB2312" w:cs="DengXian-Regular"/>
          <w:color w:val="auto"/>
          <w:sz w:val="32"/>
          <w:szCs w:val="32"/>
        </w:rPr>
        <w:t>；较上年度</w:t>
      </w:r>
      <w:r>
        <w:rPr>
          <w:rFonts w:hint="eastAsia" w:ascii="仿宋_GB2312" w:hAnsi="Times New Roman" w:eastAsia="仿宋_GB2312" w:cs="DengXian-Regular"/>
          <w:color w:val="auto"/>
          <w:sz w:val="32"/>
          <w:szCs w:val="32"/>
          <w:lang w:eastAsia="zh-CN"/>
        </w:rPr>
        <w:t>无增减变化</w:t>
      </w:r>
      <w:r>
        <w:rPr>
          <w:rFonts w:hint="eastAsia" w:ascii="仿宋_GB2312" w:hAnsi="Times New Roman" w:eastAsia="仿宋_GB2312" w:cs="DengXian-Regular"/>
          <w:color w:val="auto"/>
          <w:sz w:val="32"/>
          <w:szCs w:val="32"/>
        </w:rPr>
        <w:t>,主要是</w:t>
      </w:r>
      <w:r>
        <w:rPr>
          <w:rFonts w:hint="eastAsia" w:ascii="仿宋_GB2312" w:eastAsia="仿宋_GB2312" w:cs="DengXian-Regular"/>
          <w:sz w:val="32"/>
          <w:szCs w:val="32"/>
          <w:lang w:eastAsia="zh-CN"/>
        </w:rPr>
        <w:t>贯彻落实有关规定，</w:t>
      </w:r>
      <w:r>
        <w:rPr>
          <w:rFonts w:hint="eastAsia" w:ascii="仿宋" w:hAnsi="仿宋" w:eastAsia="仿宋"/>
          <w:color w:val="auto"/>
          <w:sz w:val="32"/>
          <w:szCs w:val="32"/>
        </w:rPr>
        <w:t>严格控制公务接待</w:t>
      </w:r>
      <w:r>
        <w:rPr>
          <w:rFonts w:hint="eastAsia" w:ascii="仿宋_GB2312" w:hAnsi="Times New Roman" w:eastAsia="仿宋_GB2312" w:cs="DengXian-Regular"/>
          <w:color w:val="auto"/>
          <w:sz w:val="32"/>
          <w:szCs w:val="32"/>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Times New Roman" w:eastAsia="仿宋_GB2312" w:cs="DengXian-Regular"/>
          <w:color w:val="auto"/>
          <w:sz w:val="32"/>
          <w:szCs w:val="32"/>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w:t>
      </w:r>
      <w:r>
        <w:rPr>
          <w:rFonts w:hint="eastAsia" w:ascii="仿宋_GB2312" w:eastAsia="仿宋_GB2312" w:cs="DengXian-Regular"/>
          <w:sz w:val="32"/>
          <w:szCs w:val="32"/>
        </w:rPr>
        <w:t>对部门全面规范绩效预算编制、严格预算执行管理、推进绩效评价工作、推进预决算信息公开等方面进行了自评，涉及业务咨询委托、网络系统运维、购置消防车辆、增加消防经费等多个项目，涉及资金1018.48万元。从评价情况看，评价结果项目基本都是良好。</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 业务咨询委托项目及 网络系统运维项目等2个项目绩效自评结果。</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业务咨询委托项目自评综述：根据年初设定的绩效目标，2019年业务咨询委托项目绩效自评得分为</w:t>
      </w:r>
      <w:r>
        <w:rPr>
          <w:rFonts w:hint="eastAsia" w:ascii="仿宋_GB2312" w:eastAsia="仿宋_GB2312" w:cs="DengXian-Regular"/>
          <w:sz w:val="32"/>
          <w:szCs w:val="32"/>
        </w:rPr>
        <w:t>良好</w:t>
      </w:r>
      <w:r>
        <w:rPr>
          <w:rFonts w:hint="eastAsia" w:ascii="仿宋_GB2312" w:hAnsi="仿宋_GB2312" w:eastAsia="仿宋_GB2312" w:cs="仿宋_GB2312"/>
          <w:sz w:val="32"/>
          <w:szCs w:val="32"/>
        </w:rPr>
        <w:t>。该项目全年预算数为6万元，执行数为6万元，完成预算的100%。</w:t>
      </w:r>
      <w:r>
        <w:rPr>
          <w:rFonts w:hint="eastAsia" w:ascii="仿宋_GB2312" w:eastAsia="仿宋_GB2312" w:cs="DengXian-Regular"/>
          <w:sz w:val="32"/>
          <w:szCs w:val="32"/>
        </w:rPr>
        <w:t>主要产出和效果</w:t>
      </w:r>
      <w:r>
        <w:rPr>
          <w:rFonts w:hint="eastAsia" w:ascii="仿宋_GB2312" w:eastAsia="仿宋_GB2312" w:cs="DengXian-Regular"/>
          <w:sz w:val="32"/>
          <w:szCs w:val="32"/>
          <w:lang w:eastAsia="zh-CN"/>
        </w:rPr>
        <w:t>均</w:t>
      </w:r>
      <w:r>
        <w:rPr>
          <w:rFonts w:hint="eastAsia" w:ascii="仿宋_GB2312" w:eastAsia="仿宋_GB2312" w:cs="DengXian-Regular"/>
          <w:sz w:val="32"/>
          <w:szCs w:val="32"/>
        </w:rPr>
        <w:t>按照方案要求，</w:t>
      </w:r>
      <w:r>
        <w:rPr>
          <w:rFonts w:hint="eastAsia" w:ascii="仿宋_GB2312" w:hAnsi="仿宋_GB2312" w:eastAsia="仿宋_GB2312" w:cs="仿宋_GB2312"/>
          <w:sz w:val="32"/>
          <w:szCs w:val="32"/>
        </w:rPr>
        <w:t>2019年业务咨询委托</w:t>
      </w:r>
      <w:r>
        <w:rPr>
          <w:rFonts w:hint="eastAsia" w:ascii="仿宋_GB2312" w:hAnsi="仿宋_GB2312" w:eastAsia="仿宋_GB2312" w:cs="仿宋_GB2312"/>
          <w:sz w:val="32"/>
          <w:szCs w:val="32"/>
          <w:lang w:eastAsia="zh-CN"/>
        </w:rPr>
        <w:t>重点企业</w:t>
      </w:r>
      <w:r>
        <w:rPr>
          <w:rFonts w:hint="eastAsia" w:ascii="仿宋_GB2312" w:hAnsi="仿宋_GB2312" w:eastAsia="仿宋_GB2312" w:cs="仿宋_GB2312"/>
          <w:sz w:val="32"/>
          <w:szCs w:val="32"/>
        </w:rPr>
        <w:t>覆盖率80%、聘请专家到企业排查隐患，对排查出的隐患和问题制定整改措施</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均达到预期指标值</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通过督导检查企业，最大限度地发现、纠正、督促企业消除各类隐患，预防和减少事故发生，确保全县安全生产形势持续稳定好转，均达到预期指标值。</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网络系统运维项目自评综述：根据年初设定的绩效目标，2019年网络系统运维项目绩效自评得分为</w:t>
      </w:r>
      <w:r>
        <w:rPr>
          <w:rFonts w:hint="eastAsia" w:ascii="仿宋_GB2312" w:eastAsia="仿宋_GB2312" w:cs="DengXian-Regular"/>
          <w:sz w:val="32"/>
          <w:szCs w:val="32"/>
        </w:rPr>
        <w:t>良好</w:t>
      </w:r>
      <w:r>
        <w:rPr>
          <w:rFonts w:hint="eastAsia" w:ascii="仿宋_GB2312" w:hAnsi="仿宋_GB2312" w:eastAsia="仿宋_GB2312" w:cs="仿宋_GB2312"/>
          <w:sz w:val="32"/>
          <w:szCs w:val="32"/>
        </w:rPr>
        <w:t>。该项目全年预算数为5万元，执行数为5万元，完成预算的100%。</w:t>
      </w:r>
      <w:r>
        <w:rPr>
          <w:rFonts w:hint="eastAsia" w:ascii="仿宋_GB2312" w:eastAsia="仿宋_GB2312" w:cs="DengXian-Regular"/>
          <w:sz w:val="32"/>
          <w:szCs w:val="32"/>
        </w:rPr>
        <w:t>主要产出和效果</w:t>
      </w:r>
      <w:r>
        <w:rPr>
          <w:rFonts w:hint="eastAsia" w:ascii="仿宋_GB2312" w:eastAsia="仿宋_GB2312" w:cs="DengXian-Regular"/>
          <w:sz w:val="32"/>
          <w:szCs w:val="32"/>
          <w:lang w:eastAsia="zh-CN"/>
        </w:rPr>
        <w:t>均</w:t>
      </w:r>
      <w:r>
        <w:rPr>
          <w:rFonts w:hint="eastAsia" w:ascii="仿宋_GB2312" w:eastAsia="仿宋_GB2312" w:cs="DengXian-Regular"/>
          <w:sz w:val="32"/>
          <w:szCs w:val="32"/>
        </w:rPr>
        <w:t>按照方案要求，确保安全生产信息化平台正常运行维护，运用现代通讯、电子信息网络技术，实现安全生产监管业务，</w:t>
      </w:r>
      <w:r>
        <w:rPr>
          <w:rFonts w:hint="eastAsia" w:ascii="仿宋_GB2312" w:hAnsi="仿宋_GB2312" w:eastAsia="仿宋_GB2312" w:cs="仿宋_GB2312"/>
          <w:sz w:val="32"/>
          <w:szCs w:val="32"/>
        </w:rPr>
        <w:t>通过信息化平台，最大限度地发现、纠正、督促企业消除各类隐患，预防和减少事故发生，确保全县安全生产形势持续稳定好转，均达到预期指标值。</w:t>
      </w:r>
    </w:p>
    <w:p>
      <w:pPr>
        <w:keepNext/>
        <w:keepLines/>
        <w:numPr>
          <w:ilvl w:val="0"/>
          <w:numId w:val="2"/>
        </w:numPr>
        <w:snapToGrid w:val="0"/>
        <w:spacing w:line="580" w:lineRule="exact"/>
        <w:ind w:firstLine="643" w:firstLineChars="200"/>
        <w:outlineLvl w:val="1"/>
        <w:rPr>
          <w:rFonts w:ascii="仿宋_GB2312" w:hAnsi="仿宋_GB2312" w:eastAsia="仿宋_GB2312" w:cs="仿宋_GB2312"/>
          <w:b/>
          <w:bCs/>
          <w:sz w:val="32"/>
          <w:szCs w:val="32"/>
        </w:rPr>
      </w:pPr>
      <w:bookmarkStart w:id="0" w:name="_GoBack"/>
      <w:r>
        <w:rPr>
          <w:rFonts w:hint="eastAsia" w:ascii="仿宋_GB2312" w:hAnsi="仿宋_GB2312" w:eastAsia="仿宋_GB2312" w:cs="仿宋_GB2312"/>
          <w:b/>
          <w:bCs/>
          <w:sz w:val="32"/>
          <w:szCs w:val="32"/>
        </w:rPr>
        <w:t>财政评价项目绩效评价结果</w:t>
      </w:r>
    </w:p>
    <w:p>
      <w:pPr>
        <w:keepNext/>
        <w:keepLines/>
        <w:snapToGrid w:val="0"/>
        <w:spacing w:line="580" w:lineRule="exact"/>
        <w:outlineLvl w:val="1"/>
        <w:rPr>
          <w:rFonts w:ascii="仿宋_GB2312" w:hAnsi="Times New Roman" w:eastAsia="仿宋_GB2312" w:cs="DengXian-Regular"/>
          <w:sz w:val="32"/>
          <w:szCs w:val="32"/>
        </w:rPr>
      </w:pPr>
      <w:r>
        <w:rPr>
          <w:rFonts w:hint="eastAsia" w:ascii="仿宋_GB2312" w:hAnsi="仿宋_GB2312" w:eastAsia="仿宋_GB2312" w:cs="仿宋_GB2312"/>
          <w:b/>
          <w:bCs/>
          <w:sz w:val="32"/>
          <w:szCs w:val="32"/>
        </w:rPr>
        <w:t xml:space="preserve">    </w:t>
      </w:r>
      <w:r>
        <w:rPr>
          <w:rFonts w:hint="eastAsia" w:ascii="仿宋_GB2312" w:hAnsi="Times New Roman" w:eastAsia="仿宋_GB2312" w:cs="DengXian-Regular"/>
          <w:sz w:val="32"/>
          <w:szCs w:val="32"/>
        </w:rPr>
        <w:t>无</w:t>
      </w:r>
    </w:p>
    <w:bookmarkEnd w:id="0"/>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本部门2019年度机关运行经费支出488.54万元，比2018年度增加423.26万元，增长648.38%。主要原因是</w:t>
      </w:r>
      <w:r>
        <w:rPr>
          <w:rFonts w:hint="eastAsia" w:ascii="仿宋_GB2312" w:hAnsi="仿宋_GB2312" w:eastAsia="仿宋_GB2312" w:cs="仿宋_GB2312"/>
          <w:sz w:val="32"/>
          <w:szCs w:val="32"/>
        </w:rPr>
        <w:t>机构改革高邑县消防大队并入</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DengXian-Regular"/>
          <w:sz w:val="32"/>
          <w:szCs w:val="32"/>
        </w:rPr>
        <w:t>本部门2019年度政府采购支出总额21万元，从采购类型来看，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21</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截至201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年12月31日，本部门共有车辆</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辆，和上年持平上。其中，副部（省）级及以上领导用车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万元以上通用设备0台（套），与上年相比无增减变化，单位价值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万元以上专用设备0台（套），与上年相比无增减变化。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本单位无此类国有资产。</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1.本部门2019年度</w:t>
      </w:r>
      <w:r>
        <w:rPr>
          <w:rFonts w:hint="eastAsia" w:ascii="仿宋_GB2312" w:eastAsia="仿宋_GB2312" w:cs="DengXian-Regular"/>
          <w:sz w:val="32"/>
          <w:szCs w:val="32"/>
        </w:rPr>
        <w:t>国有资本经营预算财政拨款收入支出决算表</w:t>
      </w:r>
      <w:r>
        <w:rPr>
          <w:rFonts w:hint="eastAsia" w:ascii="仿宋_GB2312" w:hAnsi="Times New Roman" w:eastAsia="仿宋_GB2312" w:cs="DengXian-Regular"/>
          <w:sz w:val="32"/>
          <w:szCs w:val="32"/>
        </w:rPr>
        <w:t>无收支及结转结余情况，故</w:t>
      </w:r>
      <w:r>
        <w:rPr>
          <w:rFonts w:hint="eastAsia" w:ascii="仿宋_GB2312" w:eastAsia="仿宋_GB2312" w:cs="DengXian-Regular"/>
          <w:sz w:val="32"/>
          <w:szCs w:val="32"/>
        </w:rPr>
        <w:t>此</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8793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color2="#FFFFFF" focussize="0,0"/>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8896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color2="#FFFFFF"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widowControl/>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本部门应公开</w:t>
      </w:r>
      <w:r>
        <w:rPr>
          <w:rFonts w:hint="eastAsia" w:ascii="仿宋_GB2312" w:hAnsi="仿宋_GB2312" w:eastAsia="仿宋_GB2312" w:cs="仿宋_GB2312"/>
          <w:sz w:val="32"/>
          <w:szCs w:val="32"/>
          <w:lang w:val="en-US" w:eastAsia="zh-CN"/>
        </w:rPr>
        <w:t>9张决算表格，即：</w:t>
      </w:r>
    </w:p>
    <w:p>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01</w:t>
      </w:r>
      <w:r>
        <w:rPr>
          <w:rFonts w:hint="eastAsia" w:ascii="仿宋_GB2312" w:hAnsi="仿宋_GB2312" w:eastAsia="仿宋_GB2312" w:cs="仿宋_GB2312"/>
          <w:sz w:val="32"/>
          <w:szCs w:val="32"/>
        </w:rPr>
        <w:t>：部门收支决算总表</w:t>
      </w:r>
    </w:p>
    <w:p>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02</w:t>
      </w:r>
      <w:r>
        <w:rPr>
          <w:rFonts w:hint="eastAsia" w:ascii="仿宋_GB2312" w:hAnsi="仿宋_GB2312" w:eastAsia="仿宋_GB2312" w:cs="仿宋_GB2312"/>
          <w:sz w:val="32"/>
          <w:szCs w:val="32"/>
        </w:rPr>
        <w:t>：部门收入决算总表</w:t>
      </w:r>
    </w:p>
    <w:p>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03</w:t>
      </w:r>
      <w:r>
        <w:rPr>
          <w:rFonts w:hint="eastAsia" w:ascii="仿宋_GB2312" w:hAnsi="仿宋_GB2312" w:eastAsia="仿宋_GB2312" w:cs="仿宋_GB2312"/>
          <w:sz w:val="32"/>
          <w:szCs w:val="32"/>
        </w:rPr>
        <w:t>：部门支出决算总表</w:t>
      </w:r>
    </w:p>
    <w:p>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04</w:t>
      </w:r>
      <w:r>
        <w:rPr>
          <w:rFonts w:hint="eastAsia" w:ascii="仿宋_GB2312" w:hAnsi="仿宋_GB2312" w:eastAsia="仿宋_GB2312" w:cs="仿宋_GB2312"/>
          <w:sz w:val="32"/>
          <w:szCs w:val="32"/>
        </w:rPr>
        <w:t>：部门财政拨款收支决算总表</w:t>
      </w:r>
    </w:p>
    <w:p>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05</w:t>
      </w:r>
      <w:r>
        <w:rPr>
          <w:rFonts w:hint="eastAsia" w:ascii="仿宋_GB2312" w:hAnsi="仿宋_GB2312" w:eastAsia="仿宋_GB2312" w:cs="仿宋_GB2312"/>
          <w:sz w:val="32"/>
          <w:szCs w:val="32"/>
        </w:rPr>
        <w:t>：部门一般公共预算财政拨款支出决算表</w:t>
      </w:r>
    </w:p>
    <w:p>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06</w:t>
      </w:r>
      <w:r>
        <w:rPr>
          <w:rFonts w:hint="eastAsia" w:ascii="仿宋_GB2312" w:hAnsi="仿宋_GB2312" w:eastAsia="仿宋_GB2312" w:cs="仿宋_GB2312"/>
          <w:sz w:val="32"/>
          <w:szCs w:val="32"/>
        </w:rPr>
        <w:t>：部门一般公共预算财政拨款基本支出决算表</w:t>
      </w:r>
    </w:p>
    <w:p>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：部门财政拨款“三公”经费支出决算表</w:t>
      </w:r>
    </w:p>
    <w:p>
      <w:pPr>
        <w:widowControl/>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：部门政府性基金预算财政拨款收支决算表</w:t>
      </w:r>
    </w:p>
    <w:p>
      <w:pPr>
        <w:widowControl/>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附表</w:t>
      </w:r>
      <w:r>
        <w:rPr>
          <w:rFonts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：部门国有资本经营预算财政拨款支出决算表</w:t>
      </w:r>
    </w:p>
    <w:p>
      <w:pPr>
        <w:widowControl/>
        <w:spacing w:line="560" w:lineRule="exact"/>
        <w:ind w:firstLine="640" w:firstLineChars="200"/>
        <w:rPr>
          <w:rFonts w:hint="eastAsia" w:ascii="仿宋_GB2312" w:hAnsi="仿宋_GB2312" w:eastAsia="仿宋_GB2312" w:cs="仿宋_GB2312"/>
          <w:sz w:val="32"/>
          <w:szCs w:val="32"/>
          <w:lang w:eastAsia="zh-CN"/>
        </w:rPr>
        <w:sectPr>
          <w:pgSz w:w="11906" w:h="16838"/>
          <w:pgMar w:top="2098" w:right="1474" w:bottom="1985" w:left="1588" w:header="851" w:footer="992" w:gutter="0"/>
          <w:cols w:space="425" w:num="1"/>
          <w:docGrid w:type="lines" w:linePitch="312" w:charSpace="0"/>
        </w:sectPr>
      </w:pPr>
      <w:r>
        <w:rPr>
          <w:rFonts w:hint="eastAsia" w:ascii="仿宋_GB2312" w:hAnsi="仿宋_GB2312" w:eastAsia="仿宋_GB2312" w:cs="仿宋_GB2312"/>
          <w:sz w:val="32"/>
          <w:szCs w:val="32"/>
          <w:lang w:eastAsia="zh-CN"/>
        </w:rPr>
        <w:t>详见附表：《高邑县应急管理管理局</w:t>
      </w:r>
      <w:r>
        <w:rPr>
          <w:rFonts w:hint="eastAsia" w:ascii="仿宋_GB2312" w:hAnsi="仿宋_GB2312" w:eastAsia="仿宋_GB2312" w:cs="仿宋_GB2312"/>
          <w:sz w:val="32"/>
          <w:szCs w:val="32"/>
          <w:lang w:val="en-US" w:eastAsia="zh-CN"/>
        </w:rPr>
        <w:t>2019年部门决算公开表</w:t>
      </w:r>
      <w:r>
        <w:rPr>
          <w:rFonts w:hint="eastAsia" w:ascii="仿宋_GB2312" w:hAnsi="仿宋_GB2312" w:eastAsia="仿宋_GB2312" w:cs="仿宋_GB2312"/>
          <w:sz w:val="32"/>
          <w:szCs w:val="32"/>
          <w:lang w:eastAsia="zh-CN"/>
        </w:rPr>
        <w:t>》</w:t>
      </w:r>
    </w:p>
    <w:p/>
    <w:p/>
    <w:p/>
    <w:p/>
    <w:p>
      <w:r>
        <w:pict>
          <v:rect id="_x0000_s1027" o:spid="_x0000_s1027" o:spt="1" style="position:absolute;left:0pt;margin-left:-70.5pt;margin-top:-85.25pt;height:841.15pt;width:595.1pt;z-index:25168998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24" w:type="first"/>
      <w:headerReference r:id="rId23" w:type="default"/>
      <w:footerReference r:id="rId25"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Yu Gothic UI Semibold">
    <w:altName w:val="Meiryo UI"/>
    <w:panose1 w:val="020B0700000000000000"/>
    <w:charset w:val="80"/>
    <w:family w:val="swiss"/>
    <w:pitch w:val="default"/>
    <w:sig w:usb0="00000000" w:usb1="00000000" w:usb2="00000016" w:usb3="00000000" w:csb0="2002009F" w:csb1="00000000"/>
  </w:font>
  <w:font w:name="Cambria">
    <w:panose1 w:val="02040503050406030204"/>
    <w:charset w:val="00"/>
    <w:family w:val="roman"/>
    <w:pitch w:val="default"/>
    <w:sig w:usb0="E00002FF" w:usb1="400004FF" w:usb2="00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Arial Unicode MS"/>
    <w:panose1 w:val="00000000000000000000"/>
    <w:charset w:val="86"/>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仿宋">
    <w:panose1 w:val="02010609060101010101"/>
    <w:charset w:val="86"/>
    <w:family w:val="auto"/>
    <w:pitch w:val="default"/>
    <w:sig w:usb0="800002BF" w:usb1="38CF7CFA" w:usb2="00000016" w:usb3="00000000" w:csb0="00040001" w:csb1="00000000"/>
  </w:font>
  <w:font w:name="等线">
    <w:altName w:val="Arial Unicode MS"/>
    <w:panose1 w:val="00000000000000000000"/>
    <w:charset w:val="86"/>
    <w:family w:val="auto"/>
    <w:pitch w:val="default"/>
    <w:sig w:usb0="00000000" w:usb1="00000000" w:usb2="00000000" w:usb3="00000000" w:csb0="00000000" w:csb1="00000000"/>
  </w:font>
  <w:font w:name="Malgun Gothic">
    <w:panose1 w:val="020B0503020000020004"/>
    <w:charset w:val="81"/>
    <w:family w:val="auto"/>
    <w:pitch w:val="default"/>
    <w:sig w:usb0="900002AF" w:usb1="01D77CFB" w:usb2="00000012" w:usb3="00000000" w:csb0="00080001"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仿宋_GB2312">
    <w:altName w:val="仿宋"/>
    <w:panose1 w:val="00000000000000000000"/>
    <w:charset w:val="00"/>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- 11 -</w:t>
                </w:r>
                <w:r>
                  <w:rPr>
                    <w:rFonts w:ascii="Times New Roman" w:hAnsi="Times New Roman" w:cs="Times New Roman"/>
                    <w:sz w:val="24"/>
                    <w:szCs w:val="24"/>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- 31 -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joinstyle="miter"/>
            <v:imagedata o:title=""/>
            <o:lock v:ext="edit"/>
          </v:shap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7063E"/>
    <w:rsid w:val="00073392"/>
    <w:rsid w:val="00073F4E"/>
    <w:rsid w:val="00077839"/>
    <w:rsid w:val="00086C89"/>
    <w:rsid w:val="000A39FB"/>
    <w:rsid w:val="00117746"/>
    <w:rsid w:val="00144ED3"/>
    <w:rsid w:val="00163BEE"/>
    <w:rsid w:val="00163F95"/>
    <w:rsid w:val="00180A9A"/>
    <w:rsid w:val="001829C0"/>
    <w:rsid w:val="00184809"/>
    <w:rsid w:val="00192112"/>
    <w:rsid w:val="001B0127"/>
    <w:rsid w:val="001C12D5"/>
    <w:rsid w:val="001C69F7"/>
    <w:rsid w:val="001D6F97"/>
    <w:rsid w:val="0020637A"/>
    <w:rsid w:val="002650EC"/>
    <w:rsid w:val="002A6C46"/>
    <w:rsid w:val="002C19B5"/>
    <w:rsid w:val="003568CB"/>
    <w:rsid w:val="003A1A22"/>
    <w:rsid w:val="003A4EE8"/>
    <w:rsid w:val="004309BA"/>
    <w:rsid w:val="00442CC2"/>
    <w:rsid w:val="00446244"/>
    <w:rsid w:val="00473C20"/>
    <w:rsid w:val="004B662C"/>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66E76"/>
    <w:rsid w:val="00770F18"/>
    <w:rsid w:val="00773B74"/>
    <w:rsid w:val="0078290C"/>
    <w:rsid w:val="007A226C"/>
    <w:rsid w:val="007C06CA"/>
    <w:rsid w:val="008163FB"/>
    <w:rsid w:val="0082605B"/>
    <w:rsid w:val="00855C36"/>
    <w:rsid w:val="00857DBE"/>
    <w:rsid w:val="008701BC"/>
    <w:rsid w:val="00883D92"/>
    <w:rsid w:val="0089195C"/>
    <w:rsid w:val="008A5362"/>
    <w:rsid w:val="008F21F1"/>
    <w:rsid w:val="008F221B"/>
    <w:rsid w:val="008F5A2D"/>
    <w:rsid w:val="00921602"/>
    <w:rsid w:val="00957EA1"/>
    <w:rsid w:val="00966E5B"/>
    <w:rsid w:val="009B4EF0"/>
    <w:rsid w:val="009D271F"/>
    <w:rsid w:val="00A929C2"/>
    <w:rsid w:val="00AD097F"/>
    <w:rsid w:val="00B844F4"/>
    <w:rsid w:val="00BA06A1"/>
    <w:rsid w:val="00BA770A"/>
    <w:rsid w:val="00BE5145"/>
    <w:rsid w:val="00C054DE"/>
    <w:rsid w:val="00C679A9"/>
    <w:rsid w:val="00C7541C"/>
    <w:rsid w:val="00CC0FAA"/>
    <w:rsid w:val="00CD0736"/>
    <w:rsid w:val="00D1570F"/>
    <w:rsid w:val="00D32830"/>
    <w:rsid w:val="00DB042F"/>
    <w:rsid w:val="00DB7153"/>
    <w:rsid w:val="00DB7F05"/>
    <w:rsid w:val="00DE2332"/>
    <w:rsid w:val="00DE64E7"/>
    <w:rsid w:val="00E028C3"/>
    <w:rsid w:val="00E14F77"/>
    <w:rsid w:val="00E3076B"/>
    <w:rsid w:val="00E36978"/>
    <w:rsid w:val="00E82A1E"/>
    <w:rsid w:val="00E83FF7"/>
    <w:rsid w:val="00E97A8F"/>
    <w:rsid w:val="00EA05EC"/>
    <w:rsid w:val="00EC06F4"/>
    <w:rsid w:val="00EE380B"/>
    <w:rsid w:val="00EE4E36"/>
    <w:rsid w:val="00F44A67"/>
    <w:rsid w:val="00F477EA"/>
    <w:rsid w:val="00F665F4"/>
    <w:rsid w:val="00F672A4"/>
    <w:rsid w:val="00FD225F"/>
    <w:rsid w:val="049E3AFE"/>
    <w:rsid w:val="05B00A30"/>
    <w:rsid w:val="060A74D0"/>
    <w:rsid w:val="06BB1CBC"/>
    <w:rsid w:val="08217AB1"/>
    <w:rsid w:val="09273D3F"/>
    <w:rsid w:val="0B011416"/>
    <w:rsid w:val="0C5E4348"/>
    <w:rsid w:val="0CFE3508"/>
    <w:rsid w:val="0D0F01A8"/>
    <w:rsid w:val="0DD57DBE"/>
    <w:rsid w:val="0F9C4434"/>
    <w:rsid w:val="11EB43EA"/>
    <w:rsid w:val="12532A39"/>
    <w:rsid w:val="12861B6B"/>
    <w:rsid w:val="16440CAA"/>
    <w:rsid w:val="17776F8C"/>
    <w:rsid w:val="19DA69B9"/>
    <w:rsid w:val="1C2B46C4"/>
    <w:rsid w:val="1D547907"/>
    <w:rsid w:val="1EE70DDD"/>
    <w:rsid w:val="20B412F4"/>
    <w:rsid w:val="20FD3641"/>
    <w:rsid w:val="21CE0F5F"/>
    <w:rsid w:val="229F280A"/>
    <w:rsid w:val="27F4552C"/>
    <w:rsid w:val="28B6505B"/>
    <w:rsid w:val="29515622"/>
    <w:rsid w:val="2ACA2E79"/>
    <w:rsid w:val="2BB226DC"/>
    <w:rsid w:val="2D5E3311"/>
    <w:rsid w:val="2F4D1D08"/>
    <w:rsid w:val="2F64694C"/>
    <w:rsid w:val="31C2036A"/>
    <w:rsid w:val="320D02A5"/>
    <w:rsid w:val="32422CDE"/>
    <w:rsid w:val="341450EB"/>
    <w:rsid w:val="348E566F"/>
    <w:rsid w:val="35575BCC"/>
    <w:rsid w:val="369E75E3"/>
    <w:rsid w:val="36E54D62"/>
    <w:rsid w:val="3A226944"/>
    <w:rsid w:val="3AEE6A48"/>
    <w:rsid w:val="3C060C47"/>
    <w:rsid w:val="3C1620AA"/>
    <w:rsid w:val="3D282CA0"/>
    <w:rsid w:val="3D8F080F"/>
    <w:rsid w:val="3D911B9A"/>
    <w:rsid w:val="3EE83BAA"/>
    <w:rsid w:val="40AF16B4"/>
    <w:rsid w:val="41EB45EA"/>
    <w:rsid w:val="42984436"/>
    <w:rsid w:val="43EC351B"/>
    <w:rsid w:val="44CE1FA4"/>
    <w:rsid w:val="44EA10F0"/>
    <w:rsid w:val="4546171F"/>
    <w:rsid w:val="45B43A20"/>
    <w:rsid w:val="46727DC2"/>
    <w:rsid w:val="487F73ED"/>
    <w:rsid w:val="490C2D24"/>
    <w:rsid w:val="49B27B5B"/>
    <w:rsid w:val="4A007CC4"/>
    <w:rsid w:val="4A347EAE"/>
    <w:rsid w:val="4A872915"/>
    <w:rsid w:val="4AEF7AC3"/>
    <w:rsid w:val="4B387979"/>
    <w:rsid w:val="4DA02713"/>
    <w:rsid w:val="4DF26105"/>
    <w:rsid w:val="513F3522"/>
    <w:rsid w:val="522B3CBC"/>
    <w:rsid w:val="525668B4"/>
    <w:rsid w:val="52600405"/>
    <w:rsid w:val="529B4319"/>
    <w:rsid w:val="53EA12ED"/>
    <w:rsid w:val="54E241B6"/>
    <w:rsid w:val="56C879B0"/>
    <w:rsid w:val="5705536B"/>
    <w:rsid w:val="57773DD6"/>
    <w:rsid w:val="578B79AB"/>
    <w:rsid w:val="5A543777"/>
    <w:rsid w:val="5AF26257"/>
    <w:rsid w:val="5CCD3FD5"/>
    <w:rsid w:val="5EDC51BE"/>
    <w:rsid w:val="5F246902"/>
    <w:rsid w:val="5FC95D1A"/>
    <w:rsid w:val="60711D9B"/>
    <w:rsid w:val="6168687A"/>
    <w:rsid w:val="61C152BC"/>
    <w:rsid w:val="61FA5F9D"/>
    <w:rsid w:val="64B813EA"/>
    <w:rsid w:val="64CD6910"/>
    <w:rsid w:val="65256CA6"/>
    <w:rsid w:val="65C171F0"/>
    <w:rsid w:val="663633A5"/>
    <w:rsid w:val="664672CF"/>
    <w:rsid w:val="66AF152B"/>
    <w:rsid w:val="66C04EDA"/>
    <w:rsid w:val="67182A9E"/>
    <w:rsid w:val="6789158D"/>
    <w:rsid w:val="67D81BA4"/>
    <w:rsid w:val="67E8453B"/>
    <w:rsid w:val="682555F3"/>
    <w:rsid w:val="69755E46"/>
    <w:rsid w:val="6A08517C"/>
    <w:rsid w:val="6AAF1C96"/>
    <w:rsid w:val="6C5675F6"/>
    <w:rsid w:val="6C70073D"/>
    <w:rsid w:val="6DD96267"/>
    <w:rsid w:val="75681757"/>
    <w:rsid w:val="75A346A8"/>
    <w:rsid w:val="76D844BD"/>
    <w:rsid w:val="79B9382C"/>
    <w:rsid w:val="7AAC119A"/>
    <w:rsid w:val="7B043B76"/>
    <w:rsid w:val="7B355AB0"/>
    <w:rsid w:val="7BEB7D0F"/>
    <w:rsid w:val="7C041A6A"/>
    <w:rsid w:val="7C525AA6"/>
    <w:rsid w:val="7D6E1354"/>
    <w:rsid w:val="7E327570"/>
    <w:rsid w:val="7EC931DE"/>
    <w:rsid w:val="7ECA323C"/>
    <w:rsid w:val="7FAD4C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5.xml"/><Relationship Id="rId31" Type="http://schemas.openxmlformats.org/officeDocument/2006/relationships/chart" Target="charts/chart4.xml"/><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1.png"/><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XLS%20&#24037;&#20316;&#34920;%20(2).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20XLS%20&#24037;&#20316;&#34920;%20(2).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4.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收入构成情况</a:t>
            </a:r>
          </a:p>
        </c:rich>
      </c:tx>
      <c:layout>
        <c:manualLayout>
          <c:xMode val="edge"/>
          <c:yMode val="edge"/>
          <c:x val="0.379861111111111"/>
          <c:y val="0.0472222222222222"/>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 (2).xls]Sheet1'!$A$1:$A$2</c:f>
              <c:strCache>
                <c:ptCount val="2"/>
                <c:pt idx="0">
                  <c:v>财政拨款收入</c:v>
                </c:pt>
                <c:pt idx="1">
                  <c:v>政府性基金预算财政拨款收入</c:v>
                </c:pt>
              </c:strCache>
            </c:strRef>
          </c:cat>
          <c:val>
            <c:numRef>
              <c:f>'[新建 XLS 工作表 (2).xls]Sheet1'!$B$1:$B$2</c:f>
              <c:numCache>
                <c:formatCode>0.00%</c:formatCode>
                <c:ptCount val="2"/>
                <c:pt idx="0">
                  <c:v>0.8436</c:v>
                </c:pt>
                <c:pt idx="1">
                  <c:v>0.1564</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支出构成情况</a:t>
            </a:r>
          </a:p>
        </c:rich>
      </c:tx>
      <c:layout>
        <c:manualLayout>
          <c:xMode val="edge"/>
          <c:yMode val="edge"/>
          <c:x val="0.354305555555556"/>
          <c:y val="0.0277777777777778"/>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 (2).xls]Sheet1'!$A$1:$A$2</c:f>
              <c:strCache>
                <c:ptCount val="2"/>
                <c:pt idx="0">
                  <c:v>基本支出</c:v>
                </c:pt>
                <c:pt idx="1">
                  <c:v>项目支出</c:v>
                </c:pt>
              </c:strCache>
            </c:strRef>
          </c:cat>
          <c:val>
            <c:numRef>
              <c:f>'[新建 XLS 工作表 (2).xls]Sheet1'!$B$1:$B$2</c:f>
              <c:numCache>
                <c:formatCode>0.00%</c:formatCode>
                <c:ptCount val="2"/>
                <c:pt idx="0">
                  <c:v>0.5679</c:v>
                </c:pt>
                <c:pt idx="1">
                  <c:v>0.4321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361041666666667"/>
          <c:y val="0.91203703703703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a:t>图</a:t>
            </a:r>
            <a:r>
              <a:rPr lang="en-US" altLang="zh-CN"/>
              <a:t>3</a:t>
            </a:r>
            <a:r>
              <a:rPr lang="zh-CN" altLang="en-US"/>
              <a:t>：</a:t>
            </a:r>
            <a:r>
              <a:rPr lang="en-US" altLang="zh-CN"/>
              <a:t>2018-2019</a:t>
            </a:r>
            <a:r>
              <a:rPr lang="zh-CN" altLang="en-US"/>
              <a:t>财政拨款收支情况</a:t>
            </a:r>
            <a:endParaRPr lang="zh-CN" altLang="en-US"/>
          </a:p>
        </c:rich>
      </c:tx>
      <c:layout>
        <c:manualLayout>
          <c:xMode val="edge"/>
          <c:yMode val="edge"/>
          <c:x val="0.195196759259259"/>
          <c:y val="0.00595238095238095"/>
        </c:manualLayout>
      </c:layout>
      <c:overlay val="0"/>
    </c:title>
    <c:autoTitleDeleted val="0"/>
    <c:plotArea>
      <c:layout/>
      <c:barChart>
        <c:barDir val="col"/>
        <c:grouping val="clustered"/>
        <c:varyColors val="0"/>
        <c:ser>
          <c:idx val="0"/>
          <c:order val="0"/>
          <c:tx>
            <c:strRef>
              <c:f>Sheet1!$B$1</c:f>
              <c:strCache>
                <c:ptCount val="1"/>
                <c:pt idx="0">
                  <c:v>系列 1</c:v>
                </c:pt>
              </c:strCache>
            </c:strRef>
          </c:tx>
          <c:invertIfNegative val="0"/>
          <c:dLbls>
            <c:delete val="1"/>
          </c:dLbls>
          <c:cat>
            <c:strRef>
              <c:f>Sheet1!$A$2:$A$5</c:f>
              <c:strCache>
                <c:ptCount val="4"/>
                <c:pt idx="0">
                  <c:v>2019年度收入</c:v>
                </c:pt>
                <c:pt idx="1">
                  <c:v>2018年度收入</c:v>
                </c:pt>
                <c:pt idx="2">
                  <c:v>2019年度支出</c:v>
                </c:pt>
                <c:pt idx="3">
                  <c:v>2018年度支出</c:v>
                </c:pt>
              </c:strCache>
            </c:strRef>
          </c:cat>
          <c:val>
            <c:numRef>
              <c:f>Sheet1!$B$2:$B$5</c:f>
              <c:numCache>
                <c:formatCode>General</c:formatCode>
                <c:ptCount val="4"/>
                <c:pt idx="0">
                  <c:v>1279.07</c:v>
                </c:pt>
                <c:pt idx="1">
                  <c:v>299.59</c:v>
                </c:pt>
                <c:pt idx="2">
                  <c:v>1301.68</c:v>
                </c:pt>
                <c:pt idx="3">
                  <c:v>286.75</c:v>
                </c:pt>
              </c:numCache>
            </c:numRef>
          </c:val>
        </c:ser>
        <c:ser>
          <c:idx val="1"/>
          <c:order val="1"/>
          <c:tx>
            <c:strRef>
              <c:f>Sheet1!$C$1</c:f>
              <c:strCache>
                <c:ptCount val="1"/>
                <c:pt idx="0">
                  <c:v>列1</c:v>
                </c:pt>
              </c:strCache>
            </c:strRef>
          </c:tx>
          <c:invertIfNegative val="0"/>
          <c:dLbls>
            <c:delete val="1"/>
          </c:dLbls>
          <c:cat>
            <c:strRef>
              <c:f>Sheet1!$A$2:$A$5</c:f>
              <c:strCache>
                <c:ptCount val="4"/>
                <c:pt idx="0">
                  <c:v>2019年度收入</c:v>
                </c:pt>
                <c:pt idx="1">
                  <c:v>2018年度收入</c:v>
                </c:pt>
                <c:pt idx="2">
                  <c:v>2019年度支出</c:v>
                </c:pt>
                <c:pt idx="3">
                  <c:v>2018年度支出</c:v>
                </c:pt>
              </c:strCache>
            </c:strRef>
          </c:cat>
          <c:val>
            <c:numRef>
              <c:f>Sheet1!$C$2:$C$5</c:f>
              <c:numCache>
                <c:formatCode>General</c:formatCode>
                <c:ptCount val="4"/>
              </c:numCache>
            </c:numRef>
          </c:val>
        </c:ser>
        <c:ser>
          <c:idx val="2"/>
          <c:order val="2"/>
          <c:tx>
            <c:strRef>
              <c:f>Sheet1!$D$1</c:f>
              <c:strCache>
                <c:ptCount val="1"/>
                <c:pt idx="0">
                  <c:v>列2</c:v>
                </c:pt>
              </c:strCache>
            </c:strRef>
          </c:tx>
          <c:invertIfNegative val="0"/>
          <c:dLbls>
            <c:delete val="1"/>
          </c:dLbls>
          <c:cat>
            <c:strRef>
              <c:f>Sheet1!$A$2:$A$5</c:f>
              <c:strCache>
                <c:ptCount val="4"/>
                <c:pt idx="0">
                  <c:v>2019年度收入</c:v>
                </c:pt>
                <c:pt idx="1">
                  <c:v>2018年度收入</c:v>
                </c:pt>
                <c:pt idx="2">
                  <c:v>2019年度支出</c:v>
                </c:pt>
                <c:pt idx="3">
                  <c:v>2018年度支出</c:v>
                </c:pt>
              </c:strCache>
            </c:strRef>
          </c:cat>
          <c:val>
            <c:numRef>
              <c:f>Sheet1!$D$2:$D$5</c:f>
              <c:numCache>
                <c:formatCode>General</c:formatCode>
                <c:ptCount val="4"/>
              </c:numCache>
            </c:numRef>
          </c:val>
        </c:ser>
        <c:dLbls>
          <c:showLegendKey val="0"/>
          <c:showVal val="0"/>
          <c:showCatName val="0"/>
          <c:showSerName val="0"/>
          <c:showPercent val="0"/>
          <c:showBubbleSize val="0"/>
        </c:dLbls>
        <c:gapWidth val="150"/>
        <c:axId val="36578048"/>
        <c:axId val="45858816"/>
      </c:barChart>
      <c:catAx>
        <c:axId val="3657804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45858816"/>
        <c:crosses val="autoZero"/>
        <c:auto val="1"/>
        <c:lblAlgn val="ctr"/>
        <c:lblOffset val="100"/>
        <c:noMultiLvlLbl val="0"/>
      </c:catAx>
      <c:valAx>
        <c:axId val="45858816"/>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6578048"/>
        <c:crosses val="autoZero"/>
        <c:crossBetween val="between"/>
      </c:valAx>
    </c:plotArea>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a:t>图</a:t>
            </a:r>
            <a:r>
              <a:rPr lang="en-US" altLang="zh-CN"/>
              <a:t>4</a:t>
            </a:r>
            <a:r>
              <a:rPr lang="zh-CN" altLang="en-US"/>
              <a:t>：财政拨款收支预决算对比情况</a:t>
            </a:r>
            <a:endParaRPr lang="zh-CN" altLang="en-US"/>
          </a:p>
        </c:rich>
      </c:tx>
      <c:layout/>
      <c:overlay val="0"/>
    </c:title>
    <c:autoTitleDeleted val="0"/>
    <c:plotArea>
      <c:layout/>
      <c:barChart>
        <c:barDir val="col"/>
        <c:grouping val="stacked"/>
        <c:varyColors val="0"/>
        <c:ser>
          <c:idx val="0"/>
          <c:order val="0"/>
          <c:tx>
            <c:strRef>
              <c:f>Sheet1!$B$1</c:f>
              <c:strCache>
                <c:ptCount val="1"/>
                <c:pt idx="0">
                  <c:v>财政拨款收支预决算对比情况</c:v>
                </c:pt>
              </c:strCache>
            </c:strRef>
          </c:tx>
          <c:invertIfNegative val="0"/>
          <c:dLbls>
            <c:delete val="1"/>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829.67</c:v>
                </c:pt>
                <c:pt idx="1">
                  <c:v>1279.07</c:v>
                </c:pt>
                <c:pt idx="2">
                  <c:v>829.67</c:v>
                </c:pt>
                <c:pt idx="3">
                  <c:v>1301.68</c:v>
                </c:pt>
              </c:numCache>
            </c:numRef>
          </c:val>
        </c:ser>
        <c:dLbls>
          <c:showLegendKey val="0"/>
          <c:showVal val="0"/>
          <c:showCatName val="0"/>
          <c:showSerName val="0"/>
          <c:showPercent val="0"/>
          <c:showBubbleSize val="0"/>
        </c:dLbls>
        <c:gapWidth val="55"/>
        <c:overlap val="100"/>
        <c:axId val="165266176"/>
        <c:axId val="165422592"/>
      </c:barChart>
      <c:catAx>
        <c:axId val="16526617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5422592"/>
        <c:crosses val="autoZero"/>
        <c:auto val="1"/>
        <c:lblAlgn val="ctr"/>
        <c:lblOffset val="100"/>
        <c:noMultiLvlLbl val="0"/>
      </c:catAx>
      <c:valAx>
        <c:axId val="165422592"/>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5266176"/>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a:t>图</a:t>
            </a:r>
            <a:r>
              <a:rPr lang="en-US" altLang="zh-CN"/>
              <a:t>5</a:t>
            </a:r>
            <a:r>
              <a:rPr lang="zh-CN" altLang="en-US"/>
              <a:t>：财政拨款支出决算结构（按功能分类）</a:t>
            </a:r>
            <a:endParaRPr lang="zh-CN" altLang="en-US"/>
          </a:p>
        </c:rich>
      </c:tx>
      <c:layout/>
      <c:overlay val="0"/>
    </c:title>
    <c:autoTitleDeleted val="0"/>
    <c:plotArea>
      <c:layout/>
      <c:pieChart>
        <c:varyColors val="1"/>
        <c:ser>
          <c:idx val="0"/>
          <c:order val="0"/>
          <c:tx>
            <c:strRef>
              <c:f>Sheet1!$B$1</c:f>
              <c:strCache>
                <c:ptCount val="1"/>
                <c:pt idx="0">
                  <c:v>销售额</c:v>
                </c:pt>
              </c:strCache>
            </c:strRef>
          </c:tx>
          <c:explosion val="0"/>
          <c:dPt>
            <c:idx val="0"/>
            <c:bubble3D val="0"/>
          </c:dPt>
          <c:dPt>
            <c:idx val="1"/>
            <c:bubble3D val="0"/>
          </c:dPt>
          <c:dPt>
            <c:idx val="2"/>
            <c:bubble3D val="0"/>
          </c:dPt>
          <c:dPt>
            <c:idx val="3"/>
            <c:bubble3D val="0"/>
          </c:dPt>
          <c:dPt>
            <c:idx val="4"/>
            <c:bubble3D val="0"/>
          </c:dPt>
          <c:dLbls>
            <c:delete val="1"/>
          </c:dLbls>
          <c:cat>
            <c:strRef>
              <c:f>Sheet1!$A$2:$A$6</c:f>
              <c:strCache>
                <c:ptCount val="5"/>
                <c:pt idx="0">
                  <c:v>灾害防治及应急管理（类）支出</c:v>
                </c:pt>
                <c:pt idx="1">
                  <c:v>卫生健康支出</c:v>
                </c:pt>
                <c:pt idx="2">
                  <c:v>城乡社区（类）支出</c:v>
                </c:pt>
                <c:pt idx="3">
                  <c:v>社会保障和就业（类）支出</c:v>
                </c:pt>
                <c:pt idx="4">
                  <c:v>住房保障（类）支出</c:v>
                </c:pt>
              </c:strCache>
            </c:strRef>
          </c:cat>
          <c:val>
            <c:numRef>
              <c:f>Sheet1!$B$2:$B$6</c:f>
              <c:numCache>
                <c:formatCode>General</c:formatCode>
                <c:ptCount val="5"/>
                <c:pt idx="0">
                  <c:v>1037.54</c:v>
                </c:pt>
                <c:pt idx="1">
                  <c:v>11.61</c:v>
                </c:pt>
                <c:pt idx="2">
                  <c:v>200</c:v>
                </c:pt>
                <c:pt idx="3">
                  <c:v>31.04</c:v>
                </c:pt>
                <c:pt idx="4">
                  <c:v>21.49</c:v>
                </c:pt>
              </c:numCache>
            </c:numRef>
          </c:val>
        </c:ser>
        <c:dLbls>
          <c:showLegendKey val="0"/>
          <c:showVal val="0"/>
          <c:showCatName val="0"/>
          <c:showSerName val="0"/>
          <c:showPercent val="0"/>
          <c:showBubbleSize val="0"/>
          <c:showLeaderLines val="1"/>
        </c:dLbls>
        <c:firstSliceAng val="15"/>
      </c:pieChart>
      <c:spPr>
        <a:no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48"/>
    <customShpInfo spid="_x0000_s1047"/>
    <customShpInfo spid="_x0000_s1046"/>
    <customShpInfo spid="_x0000_s1045"/>
    <customShpInfo spid="_x0000_s1044"/>
    <customShpInfo spid="_x0000_s1043"/>
    <customShpInfo spid="_x0000_s1042"/>
    <customShpInfo spid="_x0000_s1050"/>
    <customShpInfo spid="_x0000_s1049"/>
    <customShpInfo spid="_x0000_s1051"/>
    <customShpInfo spid="_x0000_s1041"/>
    <customShpInfo spid="_x0000_s1040"/>
    <customShpInfo spid="_x0000_s1039"/>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0794076-1520-401E-82DA-9F0C31AAC8CD}">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34</Pages>
  <Words>8278</Words>
  <Characters>2934</Characters>
  <Lines>24</Lines>
  <Paragraphs>22</Paragraphs>
  <TotalTime>3</TotalTime>
  <ScaleCrop>false</ScaleCrop>
  <LinksUpToDate>false</LinksUpToDate>
  <CharactersWithSpaces>11190</CharactersWithSpaces>
  <Application>WPS Office_11.1.0.8894_F1E327BC-269C-435d-A152-05C5408002CA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2020-10-30T02:55:00Z</cp:lastPrinted>
  <dcterms:modified xsi:type="dcterms:W3CDTF">2021-06-16T16:38:20Z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y fmtid="{D5CDD505-2E9C-101B-9397-08002B2CF9AE}" pid="3" name="ICV">
    <vt:lpwstr>8635C75B268A4BA49DD0C2FABF351E7F</vt:lpwstr>
  </property>
</Properties>
</file>