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高邑县市场监督管理局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600" w:lineRule="exact"/>
        <w:ind w:firstLine="640"/>
        <w:rPr>
          <w:rFonts w:ascii="仿宋_GB2312" w:eastAsia="仿宋_GB2312"/>
          <w:sz w:val="32"/>
          <w:szCs w:val="32"/>
        </w:rPr>
      </w:pPr>
      <w:r>
        <w:rPr>
          <w:rFonts w:hint="eastAsia" w:ascii="仿宋_GB2312" w:eastAsia="仿宋_GB2312"/>
          <w:sz w:val="32"/>
          <w:szCs w:val="32"/>
        </w:rPr>
        <w:t>（一）负责起草全县市场监督管理有关规范性文件草案，制定有关政策、标准，组织实施质量强县战略、食品药品安全战略、标准化战略、知识产权战略。拟订市场监督管理规划并组织实施，规范和维护市场秩序，营造诚实守信、公平竞争的市场环境。</w:t>
      </w:r>
    </w:p>
    <w:p>
      <w:pPr>
        <w:spacing w:line="600" w:lineRule="exact"/>
        <w:ind w:firstLine="640"/>
        <w:rPr>
          <w:rFonts w:ascii="仿宋_GB2312" w:eastAsia="仿宋_GB2312"/>
          <w:sz w:val="32"/>
          <w:szCs w:val="32"/>
        </w:rPr>
      </w:pPr>
      <w:r>
        <w:rPr>
          <w:rFonts w:hint="eastAsia" w:ascii="仿宋_GB2312" w:eastAsia="仿宋_GB2312"/>
          <w:sz w:val="32"/>
          <w:szCs w:val="32"/>
        </w:rPr>
        <w:t>（二）负责市场主体信用建设，建立市场主体信息公示和共享机制，依法公示和共享有关信息，加强信用监管，推动市场主体信用体系建设。</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（三）负责市场监管综合执法工作，负责市场监管综合执法队伍建设，推动实行统一的市场监管；组织查处重大违法案件；规范市场监管行政执法行为。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四）负责监督管理市场秩序，依法监督管理市场交易、网络商品交易及有关服务的行为；依法查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五）负责全县宏观质量管理工作，拟订全县质量发展制度和措施并组织实施；统筹全县质量基础设施建设与应用，会同有关部门组织实施重大工程设备质量监理制度，组织重大质量事故调查，组织实施缺陷产品召回制度，监督管理产品防伪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（六）负责全县产品质量安全监督管理工作，承担县级产品质量安全风险监控、监督抽查工作；组织实施质量分级制度、质量安全追溯制度；负责纤维质量监督工作。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（七）负责全县特种设备安全监督管理工作，负责特种设备安全监察、监督管理工作，监督检查高耗能特种设备节能标准和锅炉环境保护标准的执行情况。</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高邑县食品安全委员会日常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（十）负责统一管理全县计量工作，推行法定计量单位和国家计量制度，管理计量器具及量值传递和比对工作；规范、监督商品量和市场计量行为。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一）负责统一管理全县标准化工作；负责宣传贯彻强制性、推荐性国家标准和行业标准、地方标准；依法协调指导和监督团体标准、企业标准制定工作；组织开展标准化国际、区域合作和参与制定、采用国际标准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（十二）负责统一管理全县检验检测工作，推进检验检测机构改革，规范检验检测市场，完善检验检测体系，指导协调检验检测行业发展。</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（十三）负责统一管理、监督和协调全县认证认可工作，组织实施国家统一的认证认可和合格评定监督管理制度。</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（十四）负责推进全县知识产权管理工作，拟订加强知识产权强县建设发展规划并组织实施，拟订强化知识产权创造、保护和运用的政策和制度并组织实施。</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五)负责保护知识产权工作，组织起草严格保护商标、专利、原产地地理标志、集成电路布图设计等知识产权规范性文件草案，并组织实施；按照国家知识产权保护体系建设方案，推动建设知识产权保护体系；负责商标、专利执法工作，负责产权争议处理、维权援助和纠纷调处。</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（十六）负责促进知识产权运用工作，拟订知识产权运用和规范交易管理办法，促进知识产权转移转化；规范知识产权无形资产评估工作；负责知识产权中介服务发展的监督管理工作。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（十七）负责建立知识产权公共服务体系，建设便企利民、互联互通的全县知识产权信息公共服务平台，推动商标、专利等知识产权信息的传播利用。</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（十八）承担上级授权的知识产权代办工作任务，负责知识产权的初审登记，组织实施原产地地理标志统一认定制度。</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（十九）负责市场监督管理科技和信息化建设、新闻宣传、对外交流与合作；按规定承担技术性贸易措施有关工作；负责协调涉外知识产权事宜，承担知识产权对外转让审查工作。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十）负责药品（含中药、民族药，下同）、医疗器械和化妆品安全监督管理工作；贯彻执行国家、省药品、医疗器械和化妆品法律法规，以及鼓励药品、医疗器械和化妆品新技术新产品的管理与服务政策，拟订监督管理措施并组织实施，组织起草相关规范性文件。</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（二十一）负责药品、医疗器械和化妆品质量管理工作，依职责监督实施药品、医疗器械经营质量管理规范。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（二十二）组织开展药品、化妆品不良反应监测、医疗器械不良事件监测、药物滥用监测工作，依法承担药品、医疗器械和化妆品安全应急管理工作。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（二十三）负责药品、医疗器械和化妆品监督检查工作，贯彻落实国家、省、市检查制度，依法查处药品、医疗器械和化妆品经营、使用环节的违法行为。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（二十四）组织开展药品、医疗器械和化妆品安全宣传、教育培训，推进诚信体系建设。</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十五）负责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（二十六）承接省市场监督管理局、省药品监督管理局和市市场监督管理局委托县级实施的管理事项。</w:t>
      </w:r>
    </w:p>
    <w:p>
      <w:pPr>
        <w:spacing w:line="600" w:lineRule="exact"/>
        <w:ind w:firstLine="640" w:firstLineChars="200"/>
        <w:rPr>
          <w:rFonts w:hint="eastAsia" w:ascii="仿宋" w:hAnsi="仿宋" w:eastAsia="仿宋"/>
          <w:b/>
          <w:sz w:val="32"/>
          <w:szCs w:val="32"/>
        </w:rPr>
      </w:pPr>
      <w:r>
        <w:rPr>
          <w:rFonts w:hint="eastAsia" w:ascii="仿宋_GB2312" w:eastAsia="仿宋_GB2312"/>
          <w:sz w:val="32"/>
          <w:szCs w:val="32"/>
        </w:rPr>
        <w:t>（二十七）完成县委、县政府交办的其他事项。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ind w:firstLine="640" w:firstLineChars="200"/>
        <w:outlineLvl w:val="0"/>
        <w:rPr>
          <w:rFonts w:hint="eastAsia" w:ascii="仿宋" w:hAnsi="仿宋" w:eastAsia="仿宋"/>
          <w:sz w:val="32"/>
          <w:szCs w:val="32"/>
        </w:rPr>
      </w:pPr>
      <w:r>
        <w:rPr>
          <w:rFonts w:hint="eastAsia" w:ascii="仿宋" w:hAnsi="仿宋" w:eastAsia="仿宋"/>
          <w:sz w:val="32"/>
          <w:szCs w:val="32"/>
        </w:rPr>
        <w:t>从预算单位构成来看：市场监督管理局主要包括1个预算单位，具体情况如下：市场监督管理局为正科级行政单位，经费保障形式为财政拨款。</w:t>
      </w:r>
    </w:p>
    <w:p>
      <w:pPr>
        <w:jc w:val="center"/>
        <w:outlineLvl w:val="0"/>
        <w:rPr>
          <w:rFonts w:hint="eastAsia" w:ascii="仿宋" w:hAnsi="仿宋" w:eastAsia="仿宋"/>
          <w:sz w:val="32"/>
          <w:szCs w:val="32"/>
        </w:rPr>
      </w:pPr>
      <w:r>
        <w:rPr>
          <w:rFonts w:hint="eastAsia" w:ascii="宋体" w:hAnsi="宋体"/>
          <w:b/>
          <w:sz w:val="32"/>
          <w:szCs w:val="24"/>
        </w:rPr>
        <w:t>部门机构设置情况</w:t>
      </w:r>
    </w:p>
    <w:tbl>
      <w:tblPr>
        <w:tblStyle w:val="6"/>
        <w:tblpPr w:leftFromText="180" w:rightFromText="180" w:vertAnchor="text" w:horzAnchor="page" w:tblpX="1438" w:tblpY="617"/>
        <w:tblOverlap w:val="never"/>
        <w:tblW w:w="972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7"/>
        <w:gridCol w:w="2891"/>
        <w:gridCol w:w="1620"/>
        <w:gridCol w:w="2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restart"/>
            <w:noWrap w:val="0"/>
            <w:vAlign w:val="center"/>
          </w:tcPr>
          <w:p>
            <w:pPr>
              <w:spacing w:line="300" w:lineRule="exact"/>
              <w:jc w:val="center"/>
              <w:rPr>
                <w:rFonts w:ascii="仿宋" w:hAnsi="仿宋" w:eastAsia="仿宋"/>
                <w:b/>
                <w:sz w:val="28"/>
                <w:szCs w:val="28"/>
              </w:rPr>
            </w:pPr>
            <w:r>
              <w:rPr>
                <w:rFonts w:hint="eastAsia" w:ascii="仿宋" w:hAnsi="仿宋" w:eastAsia="仿宋"/>
                <w:b/>
                <w:sz w:val="28"/>
                <w:szCs w:val="28"/>
              </w:rPr>
              <w:t>单位名称</w:t>
            </w:r>
          </w:p>
        </w:tc>
        <w:tc>
          <w:tcPr>
            <w:tcW w:w="2891" w:type="dxa"/>
            <w:vMerge w:val="restart"/>
            <w:noWrap w:val="0"/>
            <w:vAlign w:val="center"/>
          </w:tcPr>
          <w:p>
            <w:pPr>
              <w:spacing w:line="300" w:lineRule="exact"/>
              <w:jc w:val="center"/>
              <w:rPr>
                <w:rFonts w:ascii="仿宋" w:hAnsi="仿宋" w:eastAsia="仿宋"/>
                <w:b/>
                <w:sz w:val="28"/>
                <w:szCs w:val="28"/>
              </w:rPr>
            </w:pPr>
            <w:r>
              <w:rPr>
                <w:rFonts w:hint="eastAsia" w:ascii="仿宋" w:hAnsi="仿宋" w:eastAsia="仿宋"/>
                <w:b/>
                <w:sz w:val="28"/>
                <w:szCs w:val="28"/>
              </w:rPr>
              <w:t>单位性质</w:t>
            </w:r>
          </w:p>
        </w:tc>
        <w:tc>
          <w:tcPr>
            <w:tcW w:w="1620" w:type="dxa"/>
            <w:vMerge w:val="restart"/>
            <w:noWrap w:val="0"/>
            <w:vAlign w:val="center"/>
          </w:tcPr>
          <w:p>
            <w:pPr>
              <w:spacing w:line="300" w:lineRule="exact"/>
              <w:jc w:val="center"/>
              <w:rPr>
                <w:rFonts w:ascii="仿宋" w:hAnsi="仿宋" w:eastAsia="仿宋"/>
                <w:b/>
                <w:sz w:val="28"/>
                <w:szCs w:val="28"/>
              </w:rPr>
            </w:pPr>
            <w:r>
              <w:rPr>
                <w:rFonts w:hint="eastAsia" w:ascii="仿宋" w:hAnsi="仿宋" w:eastAsia="仿宋"/>
                <w:b/>
                <w:sz w:val="28"/>
                <w:szCs w:val="28"/>
              </w:rPr>
              <w:t>单位规格</w:t>
            </w:r>
          </w:p>
        </w:tc>
        <w:tc>
          <w:tcPr>
            <w:tcW w:w="2239" w:type="dxa"/>
            <w:vMerge w:val="restart"/>
            <w:noWrap w:val="0"/>
            <w:vAlign w:val="center"/>
          </w:tcPr>
          <w:p>
            <w:pPr>
              <w:spacing w:line="300" w:lineRule="exact"/>
              <w:jc w:val="center"/>
              <w:rPr>
                <w:rFonts w:ascii="仿宋" w:hAnsi="仿宋" w:eastAsia="仿宋"/>
                <w:b/>
                <w:sz w:val="28"/>
                <w:szCs w:val="28"/>
              </w:rPr>
            </w:pPr>
            <w:r>
              <w:rPr>
                <w:rFonts w:hint="eastAsia" w:ascii="仿宋" w:hAnsi="仿宋" w:eastAsia="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continue"/>
            <w:noWrap w:val="0"/>
            <w:vAlign w:val="center"/>
          </w:tcPr>
          <w:p>
            <w:pPr>
              <w:spacing w:line="300" w:lineRule="exact"/>
              <w:jc w:val="center"/>
              <w:outlineLvl w:val="0"/>
              <w:rPr>
                <w:rFonts w:ascii="仿宋" w:hAnsi="仿宋" w:eastAsia="仿宋"/>
                <w:sz w:val="28"/>
                <w:szCs w:val="28"/>
              </w:rPr>
            </w:pPr>
          </w:p>
        </w:tc>
        <w:tc>
          <w:tcPr>
            <w:tcW w:w="2891" w:type="dxa"/>
            <w:vMerge w:val="continue"/>
            <w:noWrap w:val="0"/>
            <w:vAlign w:val="center"/>
          </w:tcPr>
          <w:p>
            <w:pPr>
              <w:spacing w:line="300" w:lineRule="exact"/>
              <w:jc w:val="center"/>
              <w:outlineLvl w:val="0"/>
              <w:rPr>
                <w:rFonts w:ascii="仿宋" w:hAnsi="仿宋" w:eastAsia="仿宋"/>
                <w:sz w:val="28"/>
                <w:szCs w:val="28"/>
              </w:rPr>
            </w:pPr>
          </w:p>
        </w:tc>
        <w:tc>
          <w:tcPr>
            <w:tcW w:w="1620" w:type="dxa"/>
            <w:vMerge w:val="continue"/>
            <w:noWrap w:val="0"/>
            <w:vAlign w:val="center"/>
          </w:tcPr>
          <w:p>
            <w:pPr>
              <w:spacing w:line="300" w:lineRule="exact"/>
              <w:jc w:val="center"/>
              <w:outlineLvl w:val="0"/>
              <w:rPr>
                <w:rFonts w:ascii="仿宋" w:hAnsi="仿宋" w:eastAsia="仿宋"/>
                <w:sz w:val="28"/>
                <w:szCs w:val="28"/>
              </w:rPr>
            </w:pPr>
          </w:p>
        </w:tc>
        <w:tc>
          <w:tcPr>
            <w:tcW w:w="2239" w:type="dxa"/>
            <w:vMerge w:val="continue"/>
            <w:noWrap w:val="0"/>
            <w:vAlign w:val="center"/>
          </w:tcPr>
          <w:p>
            <w:pPr>
              <w:spacing w:line="300" w:lineRule="exact"/>
              <w:jc w:val="center"/>
              <w:outlineLvl w:val="0"/>
              <w:rPr>
                <w:rFonts w:ascii="仿宋" w:hAnsi="仿宋" w:eastAsia="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977" w:type="dxa"/>
            <w:noWrap w:val="0"/>
            <w:vAlign w:val="center"/>
          </w:tcPr>
          <w:p>
            <w:pPr>
              <w:jc w:val="center"/>
              <w:rPr>
                <w:rFonts w:ascii="仿宋" w:hAnsi="仿宋" w:eastAsia="仿宋"/>
                <w:sz w:val="28"/>
                <w:szCs w:val="28"/>
              </w:rPr>
            </w:pPr>
            <w:r>
              <w:rPr>
                <w:rFonts w:hint="eastAsia" w:ascii="仿宋" w:hAnsi="仿宋" w:eastAsia="仿宋"/>
                <w:sz w:val="32"/>
                <w:szCs w:val="32"/>
              </w:rPr>
              <w:t>市场监督管理局</w:t>
            </w:r>
          </w:p>
        </w:tc>
        <w:tc>
          <w:tcPr>
            <w:tcW w:w="2891" w:type="dxa"/>
            <w:noWrap w:val="0"/>
            <w:vAlign w:val="center"/>
          </w:tcPr>
          <w:p>
            <w:pPr>
              <w:jc w:val="center"/>
              <w:rPr>
                <w:rFonts w:ascii="仿宋" w:hAnsi="仿宋" w:eastAsia="仿宋"/>
                <w:sz w:val="28"/>
                <w:szCs w:val="28"/>
              </w:rPr>
            </w:pPr>
            <w:r>
              <w:rPr>
                <w:rFonts w:hint="eastAsia" w:ascii="仿宋" w:hAnsi="仿宋" w:eastAsia="仿宋"/>
                <w:sz w:val="28"/>
                <w:szCs w:val="28"/>
              </w:rPr>
              <w:t>行政</w:t>
            </w:r>
          </w:p>
        </w:tc>
        <w:tc>
          <w:tcPr>
            <w:tcW w:w="1620" w:type="dxa"/>
            <w:noWrap w:val="0"/>
            <w:vAlign w:val="center"/>
          </w:tcPr>
          <w:p>
            <w:pPr>
              <w:jc w:val="center"/>
              <w:rPr>
                <w:rFonts w:ascii="仿宋" w:hAnsi="仿宋" w:eastAsia="仿宋"/>
                <w:sz w:val="28"/>
                <w:szCs w:val="28"/>
              </w:rPr>
            </w:pPr>
            <w:r>
              <w:rPr>
                <w:rFonts w:hint="eastAsia" w:ascii="仿宋" w:hAnsi="仿宋" w:eastAsia="仿宋"/>
                <w:sz w:val="28"/>
                <w:szCs w:val="28"/>
              </w:rPr>
              <w:t>正科级</w:t>
            </w:r>
          </w:p>
        </w:tc>
        <w:tc>
          <w:tcPr>
            <w:tcW w:w="2239" w:type="dxa"/>
            <w:noWrap w:val="0"/>
            <w:vAlign w:val="center"/>
          </w:tcPr>
          <w:p>
            <w:pPr>
              <w:jc w:val="center"/>
              <w:rPr>
                <w:rFonts w:ascii="仿宋" w:hAnsi="仿宋" w:eastAsia="仿宋"/>
                <w:sz w:val="28"/>
                <w:szCs w:val="28"/>
              </w:rPr>
            </w:pPr>
            <w:r>
              <w:rPr>
                <w:rFonts w:hint="eastAsia" w:ascii="仿宋" w:hAnsi="仿宋" w:eastAsia="仿宋"/>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1593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本单位为新成立单位，无法与上年数据对比</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1578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1578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74624" behindDoc="0" locked="0" layoutInCell="1" allowOverlap="1">
            <wp:simplePos x="0" y="0"/>
            <wp:positionH relativeFrom="column">
              <wp:posOffset>271145</wp:posOffset>
            </wp:positionH>
            <wp:positionV relativeFrom="paragraph">
              <wp:posOffset>-2539365</wp:posOffset>
            </wp:positionV>
            <wp:extent cx="4572000" cy="2817495"/>
            <wp:effectExtent l="4445" t="4445" r="14605" b="16510"/>
            <wp:wrapSquare wrapText="bothSides"/>
            <wp:docPr id="28"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1593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1515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96</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highlight w:val="none"/>
        </w:rPr>
        <w:t>如图所示：</w:t>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420" w:firstLineChars="200"/>
        <w:rPr>
          <w:rFonts w:hint="eastAsia" w:ascii="仿宋_GB2312" w:hAnsi="Times New Roman" w:eastAsia="仿宋_GB2312" w:cs="DengXian-Regular"/>
          <w:color w:val="auto"/>
          <w:sz w:val="32"/>
          <w:szCs w:val="32"/>
          <w:highlight w:val="none"/>
        </w:rPr>
      </w:pPr>
      <w:r>
        <w:drawing>
          <wp:anchor distT="0" distB="0" distL="114300" distR="114300" simplePos="0" relativeHeight="251675648"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3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1578</w:t>
      </w:r>
      <w:r>
        <w:rPr>
          <w:rFonts w:hint="eastAsia" w:ascii="仿宋_GB2312" w:hAnsi="Times New Roman" w:eastAsia="仿宋_GB2312" w:cs="DengXian-Regular"/>
          <w:sz w:val="32"/>
          <w:szCs w:val="32"/>
        </w:rPr>
        <w:t>万元；本年支出</w:t>
      </w:r>
      <w:r>
        <w:rPr>
          <w:rFonts w:hint="eastAsia" w:ascii="仿宋_GB2312" w:hAnsi="Times New Roman" w:eastAsia="仿宋_GB2312" w:cs="DengXian-Regular"/>
          <w:sz w:val="32"/>
          <w:szCs w:val="32"/>
          <w:lang w:val="en-US" w:eastAsia="zh-CN"/>
        </w:rPr>
        <w:t>1593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本单位为新增单位，无上年数据对比。）</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420" w:firstLineChars="200"/>
        <w:rPr>
          <w:rFonts w:hint="eastAsia" w:ascii="仿宋_GB2312" w:hAnsi="Times New Roman" w:eastAsia="仿宋_GB2312" w:cs="DengXian-Regular"/>
          <w:sz w:val="32"/>
          <w:szCs w:val="32"/>
          <w:lang w:val="en-US" w:eastAsia="zh-CN"/>
        </w:rPr>
      </w:pPr>
      <w:r>
        <w:drawing>
          <wp:anchor distT="0" distB="0" distL="114300" distR="114300" simplePos="0" relativeHeight="251676672" behindDoc="0" locked="0" layoutInCell="1" allowOverlap="1">
            <wp:simplePos x="0" y="0"/>
            <wp:positionH relativeFrom="column">
              <wp:posOffset>271145</wp:posOffset>
            </wp:positionH>
            <wp:positionV relativeFrom="paragraph">
              <wp:posOffset>-2806065</wp:posOffset>
            </wp:positionV>
            <wp:extent cx="4392295" cy="3082290"/>
            <wp:effectExtent l="4445" t="4445" r="22860" b="18415"/>
            <wp:wrapSquare wrapText="bothSides"/>
            <wp:docPr id="3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1578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95.6</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71</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val="en-US" w:eastAsia="zh-CN"/>
        </w:rPr>
        <w:t>人员调整导致人员经费减少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1593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96.5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56</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val="en-US" w:eastAsia="zh-CN"/>
        </w:rPr>
        <w:t>人员调整导致人员经费减少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77696" behindDoc="0" locked="0" layoutInCell="1" allowOverlap="1">
            <wp:simplePos x="0" y="0"/>
            <wp:positionH relativeFrom="column">
              <wp:posOffset>271145</wp:posOffset>
            </wp:positionH>
            <wp:positionV relativeFrom="paragraph">
              <wp:posOffset>-3301365</wp:posOffset>
            </wp:positionV>
            <wp:extent cx="4572000" cy="3587750"/>
            <wp:effectExtent l="4445" t="4445" r="14605" b="8255"/>
            <wp:wrapSquare wrapText="bothSides"/>
            <wp:docPr id="32"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1578</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一般公共服务支出</w:t>
      </w:r>
      <w:r>
        <w:rPr>
          <w:rFonts w:hint="eastAsia" w:ascii="仿宋_GB2312" w:hAnsi="Times New Roman" w:eastAsia="仿宋_GB2312" w:cs="DengXian-Regular"/>
          <w:sz w:val="32"/>
          <w:szCs w:val="32"/>
          <w:lang w:val="en-US" w:eastAsia="zh-CN"/>
        </w:rPr>
        <w:t>1095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69</w:t>
      </w:r>
      <w:r>
        <w:rPr>
          <w:rFonts w:hint="eastAsia" w:ascii="仿宋_GB2312" w:hAnsi="Times New Roman" w:eastAsia="仿宋_GB2312" w:cs="DengXian-Regular"/>
          <w:sz w:val="32"/>
          <w:szCs w:val="32"/>
        </w:rPr>
        <w:t>%，；社会保障和就业支出</w:t>
      </w:r>
      <w:r>
        <w:rPr>
          <w:rFonts w:hint="eastAsia" w:ascii="仿宋_GB2312" w:hAnsi="Times New Roman" w:eastAsia="仿宋_GB2312" w:cs="DengXian-Regular"/>
          <w:sz w:val="32"/>
          <w:szCs w:val="32"/>
          <w:lang w:val="en-US" w:eastAsia="zh-CN"/>
        </w:rPr>
        <w:t>233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62</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资源勘探信息支出</w:t>
      </w:r>
      <w:r>
        <w:rPr>
          <w:rFonts w:hint="eastAsia" w:ascii="仿宋_GB2312" w:hAnsi="Times New Roman" w:eastAsia="仿宋_GB2312" w:cs="DengXian-Regular"/>
          <w:sz w:val="32"/>
          <w:szCs w:val="32"/>
          <w:lang w:val="en-US" w:eastAsia="zh-CN"/>
        </w:rPr>
        <w:t>50</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%;住房保障支出</w:t>
      </w:r>
      <w:r>
        <w:rPr>
          <w:rFonts w:hint="eastAsia" w:ascii="仿宋_GB2312" w:hAnsi="Times New Roman" w:eastAsia="仿宋_GB2312" w:cs="DengXian-Regular"/>
          <w:sz w:val="32"/>
          <w:szCs w:val="32"/>
          <w:lang w:val="en-US" w:eastAsia="zh-CN"/>
        </w:rPr>
        <w:t>135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78720"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33"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1514.96</w:t>
      </w:r>
      <w:r>
        <w:rPr>
          <w:rFonts w:hint="eastAsia" w:ascii="仿宋_GB2312" w:hAnsi="Times New Roman" w:eastAsia="仿宋_GB2312" w:cs="DengXian-Regular"/>
          <w:sz w:val="32"/>
          <w:szCs w:val="32"/>
        </w:rPr>
        <w:t>万元，其中：人员经费1062.11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452.85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本部门2019年度“三公”经费支出共计19万元，完成预算的</w:t>
      </w:r>
      <w:r>
        <w:rPr>
          <w:rFonts w:hint="eastAsia" w:ascii="仿宋_GB2312" w:hAnsi="Times New Roman" w:eastAsia="仿宋_GB2312" w:cs="DengXian-Regular"/>
          <w:sz w:val="32"/>
          <w:szCs w:val="32"/>
          <w:lang w:val="en-US" w:eastAsia="zh-CN"/>
        </w:rPr>
        <w:t>43.7</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24.41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车辆费用减少。</w:t>
      </w:r>
      <w:r>
        <w:rPr>
          <w:rFonts w:hint="eastAsia" w:ascii="仿宋_GB2312" w:hAnsi="Times New Roman" w:eastAsia="仿宋_GB2312" w:cs="DengXian-Regular"/>
          <w:sz w:val="32"/>
          <w:szCs w:val="32"/>
        </w:rPr>
        <w:t>具体情况如下：</w:t>
      </w:r>
    </w:p>
    <w:p>
      <w:pPr>
        <w:pageBreakBefore w:val="0"/>
        <w:kinsoku/>
        <w:wordWrap/>
        <w:overflowPunct/>
        <w:topLinePunct w:val="0"/>
        <w:bidi w:val="0"/>
        <w:adjustRightInd/>
        <w:snapToGrid/>
        <w:spacing w:line="240" w:lineRule="auto"/>
        <w:ind w:firstLine="643" w:firstLineChars="200"/>
        <w:textAlignment w:val="auto"/>
        <w:rPr>
          <w:rFonts w:hint="eastAsia" w:ascii="仿宋_GB2312" w:hAnsi="Times New Roman" w:eastAsia="仿宋_GB2312" w:cs="DengXian-Regular"/>
          <w:color w:val="auto"/>
          <w:sz w:val="32"/>
          <w:szCs w:val="32"/>
          <w:highlight w:val="none"/>
        </w:rPr>
      </w:pPr>
      <w:r>
        <w:rPr>
          <w:rFonts w:hint="eastAsia" w:ascii="楷体_GB2312" w:hAnsi="Times New Roman" w:eastAsia="楷体_GB2312" w:cs="DengXian-Bold"/>
          <w:b/>
          <w:bCs/>
          <w:color w:val="auto"/>
          <w:sz w:val="32"/>
          <w:szCs w:val="32"/>
        </w:rPr>
        <w:t>（一）因公出国（境）费支出</w:t>
      </w:r>
      <w:r>
        <w:rPr>
          <w:rFonts w:hint="eastAsia" w:ascii="楷体_GB2312" w:hAnsi="Times New Roman" w:eastAsia="楷体_GB2312" w:cs="DengXian-Bold"/>
          <w:b/>
          <w:bCs/>
          <w:color w:val="auto"/>
          <w:sz w:val="32"/>
          <w:szCs w:val="32"/>
          <w:lang w:val="en-US" w:eastAsia="zh-CN"/>
        </w:rPr>
        <w:t>0</w:t>
      </w:r>
      <w:r>
        <w:rPr>
          <w:rFonts w:hint="eastAsia" w:ascii="楷体_GB2312" w:hAnsi="Times New Roman" w:eastAsia="楷体_GB2312" w:cs="DengXian-Bold"/>
          <w:b/>
          <w:bCs/>
          <w:color w:val="auto"/>
          <w:sz w:val="32"/>
          <w:szCs w:val="32"/>
        </w:rPr>
        <w:t>万元。</w:t>
      </w:r>
      <w:r>
        <w:rPr>
          <w:rFonts w:hint="eastAsia" w:ascii="仿宋_GB2312" w:hAnsi="Times New Roman" w:eastAsia="仿宋_GB2312" w:cs="DengXian-Regular"/>
          <w:color w:val="auto"/>
          <w:sz w:val="32"/>
          <w:szCs w:val="32"/>
        </w:rPr>
        <w:t>本部门2019年度</w:t>
      </w:r>
      <w:r>
        <w:rPr>
          <w:rFonts w:hint="eastAsia" w:ascii="仿宋" w:hAnsi="仿宋" w:eastAsia="仿宋" w:cs="仿宋"/>
          <w:kern w:val="0"/>
          <w:sz w:val="32"/>
          <w:szCs w:val="32"/>
          <w:highlight w:val="none"/>
        </w:rPr>
        <w:t>未发生</w:t>
      </w:r>
      <w:r>
        <w:rPr>
          <w:rFonts w:hint="eastAsia" w:ascii="仿宋" w:hAnsi="仿宋" w:eastAsia="仿宋" w:cs="仿宋"/>
          <w:kern w:val="0"/>
          <w:sz w:val="32"/>
          <w:szCs w:val="32"/>
          <w:highlight w:val="none"/>
          <w:lang w:val="en-US" w:eastAsia="zh-CN"/>
        </w:rPr>
        <w:t>“</w:t>
      </w:r>
      <w:r>
        <w:rPr>
          <w:rFonts w:hint="eastAsia" w:ascii="仿宋" w:hAnsi="仿宋" w:eastAsia="仿宋" w:cs="仿宋"/>
          <w:kern w:val="0"/>
          <w:sz w:val="32"/>
          <w:szCs w:val="32"/>
          <w:highlight w:val="none"/>
        </w:rPr>
        <w:t>因公出国（境）</w:t>
      </w:r>
      <w:r>
        <w:rPr>
          <w:rFonts w:hint="eastAsia" w:ascii="仿宋" w:hAnsi="仿宋" w:eastAsia="仿宋" w:cs="仿宋"/>
          <w:kern w:val="0"/>
          <w:sz w:val="32"/>
          <w:szCs w:val="32"/>
          <w:highlight w:val="none"/>
          <w:lang w:val="en-US" w:eastAsia="zh-CN"/>
        </w:rPr>
        <w:t>”</w:t>
      </w:r>
      <w:r>
        <w:rPr>
          <w:rFonts w:hint="eastAsia" w:ascii="仿宋" w:hAnsi="仿宋" w:eastAsia="仿宋" w:cs="仿宋"/>
          <w:kern w:val="0"/>
          <w:sz w:val="32"/>
          <w:szCs w:val="32"/>
          <w:highlight w:val="none"/>
        </w:rPr>
        <w:t>经费支出，</w:t>
      </w:r>
      <w:r>
        <w:rPr>
          <w:rFonts w:hint="eastAsia" w:ascii="仿宋_GB2312" w:eastAsia="仿宋_GB2312" w:cs="DengXian-Regular"/>
          <w:sz w:val="32"/>
          <w:szCs w:val="32"/>
        </w:rPr>
        <w:t>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无本单位组织的出国（境）团组。</w:t>
      </w:r>
      <w:r>
        <w:rPr>
          <w:rFonts w:hint="eastAsia" w:ascii="仿宋" w:hAnsi="仿宋" w:eastAsia="仿宋" w:cs="仿宋"/>
          <w:kern w:val="0"/>
          <w:sz w:val="32"/>
          <w:szCs w:val="32"/>
          <w:highlight w:val="none"/>
        </w:rPr>
        <w:t>因公出国（境）费支出较预算无增减变化，</w:t>
      </w:r>
      <w:r>
        <w:rPr>
          <w:rFonts w:hint="eastAsia" w:ascii="仿宋_GB2312" w:eastAsia="仿宋_GB2312" w:cs="DengXian-Regular"/>
          <w:color w:val="000000"/>
          <w:sz w:val="32"/>
          <w:szCs w:val="32"/>
          <w:highlight w:val="none"/>
        </w:rPr>
        <w:t>与预算持平</w:t>
      </w:r>
      <w:r>
        <w:rPr>
          <w:rFonts w:hint="eastAsia" w:ascii="仿宋" w:hAnsi="仿宋" w:eastAsia="仿宋" w:cs="仿宋"/>
          <w:kern w:val="0"/>
          <w:sz w:val="32"/>
          <w:szCs w:val="32"/>
          <w:highlight w:val="none"/>
          <w:lang w:eastAsia="zh-CN"/>
        </w:rPr>
        <w:t>，</w:t>
      </w:r>
      <w:r>
        <w:rPr>
          <w:rFonts w:hint="eastAsia" w:ascii="仿宋_GB2312" w:eastAsia="仿宋_GB2312" w:cs="DengXian-Regular"/>
          <w:sz w:val="32"/>
          <w:szCs w:val="32"/>
          <w:lang w:eastAsia="zh-CN"/>
        </w:rPr>
        <w:t>主要原因是贯彻落实有关规定，严控</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活动，本年</w:t>
      </w:r>
      <w:r>
        <w:rPr>
          <w:rFonts w:hint="eastAsia" w:ascii="仿宋" w:hAnsi="仿宋" w:eastAsia="仿宋" w:cs="仿宋"/>
          <w:kern w:val="0"/>
          <w:sz w:val="32"/>
          <w:szCs w:val="32"/>
          <w:highlight w:val="none"/>
        </w:rPr>
        <w:t>本部门</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w:t>
      </w:r>
      <w:r>
        <w:rPr>
          <w:rFonts w:hint="eastAsia" w:ascii="仿宋_GB2312" w:hAnsi="Times New Roman" w:eastAsia="仿宋_GB2312" w:cs="DengXian-Regular"/>
          <w:sz w:val="32"/>
          <w:szCs w:val="32"/>
        </w:rPr>
        <w:t>较上年</w:t>
      </w:r>
      <w:r>
        <w:rPr>
          <w:rFonts w:hint="eastAsia" w:ascii="仿宋" w:hAnsi="仿宋" w:eastAsia="仿宋" w:cs="仿宋"/>
          <w:kern w:val="0"/>
          <w:sz w:val="32"/>
          <w:szCs w:val="32"/>
          <w:highlight w:val="none"/>
        </w:rPr>
        <w:t>无增减变化，</w:t>
      </w:r>
      <w:r>
        <w:rPr>
          <w:rFonts w:hint="eastAsia" w:ascii="仿宋_GB2312" w:eastAsia="仿宋_GB2312" w:cs="DengXian-Regular"/>
          <w:color w:val="000000"/>
          <w:sz w:val="32"/>
          <w:szCs w:val="32"/>
          <w:highlight w:val="none"/>
        </w:rPr>
        <w:t>与</w:t>
      </w:r>
      <w:r>
        <w:rPr>
          <w:rFonts w:hint="eastAsia" w:ascii="仿宋_GB2312" w:eastAsia="仿宋_GB2312" w:cs="DengXian-Regular"/>
          <w:color w:val="000000"/>
          <w:sz w:val="32"/>
          <w:szCs w:val="32"/>
          <w:highlight w:val="none"/>
          <w:lang w:eastAsia="zh-CN"/>
        </w:rPr>
        <w:t>上年</w:t>
      </w:r>
      <w:r>
        <w:rPr>
          <w:rFonts w:hint="eastAsia" w:ascii="仿宋_GB2312" w:eastAsia="仿宋_GB2312" w:cs="DengXian-Regular"/>
          <w:color w:val="000000"/>
          <w:sz w:val="32"/>
          <w:szCs w:val="32"/>
          <w:highlight w:val="none"/>
        </w:rPr>
        <w:t>持平</w:t>
      </w:r>
      <w:r>
        <w:rPr>
          <w:rFonts w:hint="eastAsia" w:ascii="仿宋" w:hAnsi="仿宋" w:eastAsia="仿宋" w:cs="仿宋"/>
          <w:kern w:val="0"/>
          <w:sz w:val="32"/>
          <w:szCs w:val="32"/>
          <w:highlight w:val="none"/>
          <w:lang w:eastAsia="zh-CN"/>
        </w:rPr>
        <w:t>，</w:t>
      </w:r>
      <w:r>
        <w:rPr>
          <w:rFonts w:hint="eastAsia" w:ascii="仿宋_GB2312" w:eastAsia="仿宋_GB2312" w:cs="DengXian-Regular"/>
          <w:sz w:val="32"/>
          <w:szCs w:val="32"/>
          <w:lang w:eastAsia="zh-CN"/>
        </w:rPr>
        <w:t>主要原因是贯彻落实有关规定，严控</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活动，本年</w:t>
      </w:r>
      <w:r>
        <w:rPr>
          <w:rFonts w:hint="eastAsia" w:ascii="仿宋" w:hAnsi="仿宋" w:eastAsia="仿宋" w:cs="仿宋"/>
          <w:kern w:val="0"/>
          <w:sz w:val="32"/>
          <w:szCs w:val="32"/>
          <w:highlight w:val="none"/>
        </w:rPr>
        <w:t>本部门</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w:t>
      </w:r>
    </w:p>
    <w:p>
      <w:pPr>
        <w:numPr>
          <w:ilvl w:val="0"/>
          <w:numId w:val="0"/>
        </w:numPr>
        <w:adjustRightInd w:val="0"/>
        <w:snapToGrid w:val="0"/>
        <w:spacing w:line="580" w:lineRule="exact"/>
        <w:rPr>
          <w:rFonts w:hint="eastAsia" w:ascii="楷体_GB2312" w:hAnsi="Times New Roman" w:eastAsia="楷体_GB2312" w:cs="DengXian-Bold"/>
          <w:b/>
          <w:bCs/>
          <w:sz w:val="32"/>
          <w:szCs w:val="32"/>
        </w:rPr>
      </w:pP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24.41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车辆费用减少</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2431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车辆费用减少</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val="en-US" w:eastAsia="zh-CN"/>
        </w:rPr>
        <w:t>都按预算安排完成绩效评价，总体效果较好，评价结果都为优秀和良好</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食品药品监管补助资金项目项目绩效自评结果。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食品药品监管补助资金项目自评综述：根据年初设定的绩效目标，食品药品监管补助资金项目绩效自评得分为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numPr>
          <w:ilvl w:val="0"/>
          <w:numId w:val="0"/>
        </w:numPr>
        <w:ind w:left="642" w:left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numPr>
          <w:ilvl w:val="0"/>
          <w:numId w:val="0"/>
        </w:numPr>
        <w:ind w:left="642" w:leftChars="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ind w:firstLine="640" w:firstLineChars="200"/>
        <w:rPr>
          <w:rFonts w:hint="eastAsia" w:ascii="仿宋_GB2312" w:eastAsia="仿宋_GB2312"/>
          <w:sz w:val="32"/>
          <w:szCs w:val="32"/>
        </w:rPr>
      </w:pPr>
      <w:r>
        <w:rPr>
          <w:rFonts w:hint="eastAsia" w:ascii="仿宋_GB2312" w:eastAsia="仿宋_GB2312"/>
          <w:sz w:val="32"/>
          <w:szCs w:val="32"/>
        </w:rPr>
        <w:t>资金落实情况分析。资金到位率</w:t>
      </w:r>
      <w:r>
        <w:rPr>
          <w:rFonts w:hint="eastAsia" w:ascii="仿宋_GB2312" w:eastAsia="仿宋_GB2312"/>
          <w:sz w:val="32"/>
          <w:szCs w:val="32"/>
          <w:lang w:val="en-US" w:eastAsia="zh-CN"/>
        </w:rPr>
        <w:t>100</w:t>
      </w:r>
      <w:r>
        <w:rPr>
          <w:rFonts w:hint="eastAsia" w:ascii="仿宋_GB2312" w:eastAsia="仿宋_GB2312"/>
          <w:sz w:val="32"/>
          <w:szCs w:val="32"/>
        </w:rPr>
        <w:t>%、到位及时率100%，</w:t>
      </w:r>
    </w:p>
    <w:p>
      <w:pPr>
        <w:rPr>
          <w:rFonts w:hint="eastAsia"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1.业务管理情况分析。</w:t>
      </w:r>
      <w:r>
        <w:rPr>
          <w:rFonts w:ascii="仿宋_GB2312" w:eastAsia="仿宋_GB2312"/>
          <w:sz w:val="32"/>
          <w:szCs w:val="32"/>
        </w:rPr>
        <w:t>已制定或具有相应的业务管理制度；业务管理制度合法、合规、完整</w:t>
      </w:r>
      <w:r>
        <w:rPr>
          <w:rFonts w:hint="eastAsia" w:ascii="仿宋_GB2312" w:eastAsia="仿宋_GB2312"/>
          <w:sz w:val="32"/>
          <w:szCs w:val="32"/>
        </w:rPr>
        <w:t>，</w:t>
      </w:r>
      <w:r>
        <w:rPr>
          <w:rFonts w:ascii="仿宋_GB2312" w:eastAsia="仿宋_GB2312"/>
          <w:sz w:val="32"/>
          <w:szCs w:val="32"/>
        </w:rPr>
        <w:t>遵守相关法律法规和业务管理规定；项目实施的人员条件、场地设备、信息支撑等落实到</w:t>
      </w:r>
      <w:r>
        <w:rPr>
          <w:rFonts w:hint="eastAsia" w:ascii="仿宋_GB2312" w:eastAsia="仿宋_GB2312"/>
          <w:sz w:val="32"/>
          <w:szCs w:val="32"/>
        </w:rPr>
        <w:t>位，</w:t>
      </w:r>
      <w:r>
        <w:rPr>
          <w:rFonts w:ascii="仿宋_GB2312" w:eastAsia="仿宋_GB2312"/>
          <w:sz w:val="32"/>
          <w:szCs w:val="32"/>
        </w:rPr>
        <w:t>已制定相应的项目质量要求或标准；采取了相应的项目质量检查、验收等必需的控制措施或手段。</w:t>
      </w:r>
    </w:p>
    <w:p>
      <w:pPr>
        <w:ind w:firstLine="640" w:firstLineChars="200"/>
        <w:rPr>
          <w:rFonts w:hint="eastAsia" w:ascii="仿宋_GB2312" w:eastAsia="仿宋_GB2312"/>
          <w:sz w:val="32"/>
          <w:szCs w:val="32"/>
        </w:rPr>
      </w:pPr>
      <w:r>
        <w:rPr>
          <w:rFonts w:hint="eastAsia" w:ascii="仿宋_GB2312" w:eastAsia="仿宋_GB2312"/>
          <w:sz w:val="32"/>
          <w:szCs w:val="32"/>
        </w:rPr>
        <w:t>2.财务管理。</w:t>
      </w:r>
    </w:p>
    <w:p>
      <w:pPr>
        <w:ind w:firstLine="640" w:firstLineChars="200"/>
        <w:rPr>
          <w:rFonts w:hint="eastAsia" w:ascii="仿宋_GB2312" w:eastAsia="仿宋_GB2312"/>
          <w:sz w:val="32"/>
          <w:szCs w:val="32"/>
        </w:rPr>
      </w:pPr>
      <w:r>
        <w:rPr>
          <w:rFonts w:ascii="仿宋_GB2312" w:eastAsia="仿宋_GB2312"/>
          <w:sz w:val="32"/>
          <w:szCs w:val="32"/>
        </w:rPr>
        <w:t>已制定相应的项目资金管理办法；项目资金管理办法符合相关财务会计制度的规定</w:t>
      </w:r>
      <w:r>
        <w:rPr>
          <w:rFonts w:hint="eastAsia" w:ascii="仿宋_GB2312" w:eastAsia="仿宋_GB2312"/>
          <w:sz w:val="32"/>
          <w:szCs w:val="32"/>
        </w:rPr>
        <w:t>，</w:t>
      </w:r>
      <w:r>
        <w:rPr>
          <w:rFonts w:ascii="仿宋_GB2312" w:eastAsia="仿宋_GB2312"/>
          <w:sz w:val="32"/>
          <w:szCs w:val="32"/>
        </w:rPr>
        <w:t>符合国家财经法规和财务管理制度以及有关专项资金管理办法的规定；资金的拨付有完整的审批程序和手续；符合项目预算批复的用途；</w:t>
      </w:r>
      <w:r>
        <w:rPr>
          <w:rFonts w:hint="eastAsia" w:ascii="仿宋_GB2312" w:eastAsia="仿宋_GB2312"/>
          <w:sz w:val="32"/>
          <w:szCs w:val="32"/>
        </w:rPr>
        <w:t>不</w:t>
      </w:r>
      <w:r>
        <w:rPr>
          <w:rFonts w:ascii="仿宋_GB2312" w:eastAsia="仿宋_GB2312"/>
          <w:sz w:val="32"/>
          <w:szCs w:val="32"/>
        </w:rPr>
        <w:t>存在截留、挤占、挪用、虚列支出等情况</w:t>
      </w:r>
      <w:r>
        <w:rPr>
          <w:rFonts w:hint="eastAsia" w:ascii="仿宋_GB2312" w:eastAsia="仿宋_GB2312"/>
          <w:sz w:val="32"/>
          <w:szCs w:val="32"/>
        </w:rPr>
        <w:t>，</w:t>
      </w:r>
      <w:r>
        <w:rPr>
          <w:rFonts w:ascii="仿宋_GB2312" w:eastAsia="仿宋_GB2312"/>
          <w:sz w:val="32"/>
          <w:szCs w:val="32"/>
        </w:rPr>
        <w:t>已制定相应的监控机制；采取了相应的财务检查等必要的监控措施或手段。</w:t>
      </w:r>
    </w:p>
    <w:p>
      <w:pPr>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keepLines/>
        <w:numPr>
          <w:ilvl w:val="0"/>
          <w:numId w:val="2"/>
        </w:numPr>
        <w:snapToGrid w:val="0"/>
        <w:spacing w:line="580" w:lineRule="exact"/>
        <w:ind w:firstLine="640" w:firstLineChars="200"/>
        <w:outlineLvl w:val="1"/>
        <w:rPr>
          <w:rFonts w:ascii="仿宋_GB2312" w:hAnsi="仿宋_GB2312" w:eastAsia="仿宋_GB2312" w:cs="仿宋_GB2312"/>
          <w:b/>
          <w:bCs/>
          <w:sz w:val="32"/>
          <w:szCs w:val="32"/>
        </w:rPr>
      </w:pPr>
      <w:r>
        <w:rPr>
          <w:rFonts w:hint="eastAsia" w:ascii="仿宋_GB2312" w:eastAsia="仿宋_GB2312"/>
          <w:sz w:val="32"/>
          <w:szCs w:val="32"/>
          <w:lang w:eastAsia="zh-CN"/>
        </w:rPr>
        <w:t>按时完成药品安全宣传月活动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pageBreakBefore w:val="0"/>
        <w:kinsoku/>
        <w:wordWrap/>
        <w:overflowPunct/>
        <w:topLinePunct w:val="0"/>
        <w:bidi w:val="0"/>
        <w:adjustRightInd/>
        <w:snapToGrid/>
        <w:spacing w:line="240" w:lineRule="auto"/>
        <w:ind w:firstLine="640" w:firstLineChars="200"/>
        <w:textAlignment w:val="auto"/>
        <w:rPr>
          <w:rFonts w:ascii="仿宋" w:hAnsi="仿宋" w:eastAsia="仿宋"/>
          <w:color w:val="auto"/>
          <w:sz w:val="32"/>
          <w:szCs w:val="32"/>
          <w:highlight w:val="none"/>
        </w:rPr>
      </w:pPr>
      <w:r>
        <w:rPr>
          <w:rFonts w:hint="eastAsia" w:ascii="仿宋_GB2312" w:hAnsi="Times New Roman" w:eastAsia="仿宋_GB2312" w:cs="DengXian-Regular"/>
          <w:color w:val="auto"/>
          <w:sz w:val="32"/>
          <w:szCs w:val="32"/>
        </w:rPr>
        <w:t>本部门2019年度机关运行经费支出</w:t>
      </w:r>
      <w:r>
        <w:rPr>
          <w:rFonts w:hint="eastAsia" w:ascii="仿宋_GB2312" w:hAnsi="Times New Roman" w:eastAsia="仿宋_GB2312" w:cs="DengXian-Regular"/>
          <w:color w:val="auto"/>
          <w:sz w:val="32"/>
          <w:szCs w:val="32"/>
          <w:lang w:val="en-US" w:eastAsia="zh-CN"/>
        </w:rPr>
        <w:t>1514.96</w:t>
      </w:r>
      <w:r>
        <w:rPr>
          <w:rFonts w:hint="eastAsia" w:ascii="仿宋_GB2312" w:hAnsi="Times New Roman" w:eastAsia="仿宋_GB2312" w:cs="DengXian-Regular"/>
          <w:color w:val="auto"/>
          <w:sz w:val="32"/>
          <w:szCs w:val="32"/>
        </w:rPr>
        <w:t>万元，</w:t>
      </w:r>
      <w:r>
        <w:rPr>
          <w:rFonts w:hint="eastAsia" w:ascii="仿宋_GB2312" w:eastAsia="仿宋_GB2312" w:cs="DengXian-Regular"/>
          <w:sz w:val="32"/>
          <w:szCs w:val="32"/>
          <w:lang w:eastAsia="zh-CN"/>
        </w:rPr>
        <w:t>比年初预算增加</w:t>
      </w:r>
      <w:r>
        <w:rPr>
          <w:rFonts w:hint="eastAsia" w:ascii="仿宋_GB2312" w:eastAsia="仿宋_GB2312" w:cs="DengXian-Regular"/>
          <w:sz w:val="32"/>
          <w:szCs w:val="32"/>
          <w:lang w:val="en-US" w:eastAsia="zh-CN"/>
        </w:rPr>
        <w:t>261</w:t>
      </w:r>
      <w:r>
        <w:rPr>
          <w:rFonts w:hint="eastAsia" w:ascii="仿宋" w:hAnsi="仿宋" w:eastAsia="仿宋"/>
          <w:sz w:val="32"/>
          <w:szCs w:val="32"/>
        </w:rPr>
        <w:t>元，</w:t>
      </w:r>
      <w:r>
        <w:rPr>
          <w:rFonts w:hint="eastAsia" w:ascii="仿宋" w:hAnsi="仿宋" w:eastAsia="仿宋"/>
          <w:sz w:val="32"/>
          <w:szCs w:val="32"/>
          <w:lang w:eastAsia="zh-CN"/>
        </w:rPr>
        <w:t>增长</w:t>
      </w:r>
      <w:r>
        <w:rPr>
          <w:rFonts w:hint="eastAsia" w:ascii="仿宋" w:hAnsi="仿宋" w:eastAsia="仿宋"/>
          <w:sz w:val="32"/>
          <w:szCs w:val="32"/>
          <w:lang w:val="en-US" w:eastAsia="zh-CN"/>
        </w:rPr>
        <w:t>22.32%，</w:t>
      </w:r>
      <w:r>
        <w:rPr>
          <w:rFonts w:hint="eastAsia" w:ascii="仿宋_GB2312" w:hAnsi="Times New Roman" w:eastAsia="仿宋_GB2312" w:cs="DengXian-Regular"/>
          <w:color w:val="auto"/>
          <w:sz w:val="32"/>
          <w:szCs w:val="32"/>
        </w:rPr>
        <w:t>主要原因是</w:t>
      </w:r>
      <w:r>
        <w:rPr>
          <w:rFonts w:hint="eastAsia" w:ascii="仿宋_GB2312" w:hAnsi="Times New Roman" w:eastAsia="仿宋_GB2312" w:cs="DengXian-Regular"/>
          <w:color w:val="auto"/>
          <w:sz w:val="32"/>
          <w:szCs w:val="32"/>
          <w:lang w:eastAsia="zh-CN"/>
        </w:rPr>
        <w:t>机构改革，</w:t>
      </w:r>
      <w:r>
        <w:rPr>
          <w:rFonts w:hint="eastAsia" w:ascii="仿宋" w:hAnsi="仿宋" w:eastAsia="仿宋" w:cs="仿宋"/>
          <w:kern w:val="0"/>
          <w:sz w:val="32"/>
          <w:szCs w:val="32"/>
          <w:lang w:eastAsia="zh-CN"/>
        </w:rPr>
        <w:t>增加部分业务支出</w:t>
      </w:r>
      <w:r>
        <w:rPr>
          <w:rFonts w:hint="eastAsia" w:ascii="仿宋_GB2312" w:hAnsi="Times New Roman" w:eastAsia="仿宋_GB2312" w:cs="DengXian-Regular"/>
          <w:color w:val="auto"/>
          <w:sz w:val="32"/>
          <w:szCs w:val="32"/>
          <w:lang w:eastAsia="zh-CN"/>
        </w:rPr>
        <w:t>；</w:t>
      </w:r>
      <w:r>
        <w:rPr>
          <w:rFonts w:hint="eastAsia" w:ascii="仿宋_GB2312" w:hAnsi="Times New Roman" w:eastAsia="仿宋_GB2312" w:cs="DengXian-Regular"/>
          <w:color w:val="auto"/>
          <w:sz w:val="32"/>
          <w:szCs w:val="32"/>
        </w:rPr>
        <w:t>比2018年度增加</w:t>
      </w:r>
      <w:r>
        <w:rPr>
          <w:rFonts w:hint="eastAsia" w:ascii="仿宋_GB2312" w:hAnsi="Times New Roman" w:eastAsia="仿宋_GB2312" w:cs="DengXian-Regular"/>
          <w:color w:val="auto"/>
          <w:sz w:val="32"/>
          <w:szCs w:val="32"/>
          <w:lang w:val="en-US" w:eastAsia="zh-CN"/>
        </w:rPr>
        <w:t>156</w:t>
      </w:r>
      <w:r>
        <w:rPr>
          <w:rFonts w:hint="eastAsia" w:ascii="仿宋_GB2312" w:hAnsi="Times New Roman" w:eastAsia="仿宋_GB2312" w:cs="DengXian-Regular"/>
          <w:color w:val="auto"/>
          <w:sz w:val="32"/>
          <w:szCs w:val="32"/>
        </w:rPr>
        <w:t>万元，增长</w:t>
      </w:r>
      <w:r>
        <w:rPr>
          <w:rFonts w:hint="eastAsia" w:ascii="仿宋_GB2312" w:hAnsi="Times New Roman" w:eastAsia="仿宋_GB2312" w:cs="DengXian-Regular"/>
          <w:color w:val="auto"/>
          <w:sz w:val="32"/>
          <w:szCs w:val="32"/>
          <w:lang w:val="en-US" w:eastAsia="zh-CN"/>
        </w:rPr>
        <w:t>34.59</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color w:val="auto"/>
          <w:sz w:val="32"/>
          <w:szCs w:val="32"/>
          <w:lang w:val="en-US" w:eastAsia="zh-CN"/>
        </w:rPr>
        <w:t>,</w:t>
      </w:r>
      <w:r>
        <w:rPr>
          <w:rFonts w:hint="eastAsia" w:ascii="仿宋_GB2312" w:hAnsi="Times New Roman" w:eastAsia="仿宋_GB2312" w:cs="DengXian-Regular"/>
          <w:color w:val="auto"/>
          <w:sz w:val="32"/>
          <w:szCs w:val="32"/>
        </w:rPr>
        <w:t>主要原因是</w:t>
      </w:r>
      <w:r>
        <w:rPr>
          <w:rFonts w:hint="eastAsia" w:ascii="仿宋_GB2312" w:hAnsi="Times New Roman" w:eastAsia="仿宋_GB2312" w:cs="DengXian-Regular"/>
          <w:color w:val="auto"/>
          <w:sz w:val="32"/>
          <w:szCs w:val="32"/>
          <w:lang w:eastAsia="zh-CN"/>
        </w:rPr>
        <w:t>机构改革，</w:t>
      </w:r>
      <w:r>
        <w:rPr>
          <w:rFonts w:hint="eastAsia" w:ascii="仿宋" w:hAnsi="仿宋" w:eastAsia="仿宋" w:cs="仿宋"/>
          <w:kern w:val="0"/>
          <w:sz w:val="32"/>
          <w:szCs w:val="32"/>
          <w:lang w:eastAsia="zh-CN"/>
        </w:rPr>
        <w:t>增加部分业务支出。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pageBreakBefore w:val="0"/>
        <w:kinsoku/>
        <w:wordWrap/>
        <w:overflowPunct/>
        <w:topLinePunct w:val="0"/>
        <w:bidi w:val="0"/>
        <w:adjustRightInd/>
        <w:snapToGrid/>
        <w:spacing w:line="240" w:lineRule="auto"/>
        <w:ind w:firstLine="640" w:firstLineChars="200"/>
        <w:jc w:val="left"/>
        <w:textAlignment w:val="auto"/>
        <w:rPr>
          <w:rFonts w:ascii="仿宋_GB2312" w:hAnsi="Times New Roman" w:eastAsia="仿宋_GB2312" w:cs="DengXian-Regular"/>
          <w:color w:val="auto"/>
          <w:sz w:val="32"/>
          <w:szCs w:val="32"/>
        </w:rPr>
      </w:pPr>
      <w:r>
        <w:rPr>
          <w:rFonts w:hint="eastAsia" w:ascii="仿宋" w:hAnsi="仿宋" w:eastAsia="仿宋" w:cs="仿宋"/>
          <w:color w:val="auto"/>
          <w:kern w:val="0"/>
          <w:sz w:val="32"/>
          <w:szCs w:val="32"/>
        </w:rPr>
        <w:t>本部门</w:t>
      </w:r>
      <w:r>
        <w:rPr>
          <w:rFonts w:ascii="仿宋" w:hAnsi="仿宋" w:eastAsia="仿宋" w:cs="仿宋"/>
          <w:color w:val="auto"/>
          <w:kern w:val="0"/>
          <w:sz w:val="32"/>
          <w:szCs w:val="32"/>
        </w:rPr>
        <w:t>201</w:t>
      </w:r>
      <w:r>
        <w:rPr>
          <w:rFonts w:hint="eastAsia" w:ascii="仿宋" w:hAnsi="仿宋" w:eastAsia="仿宋" w:cs="仿宋"/>
          <w:color w:val="auto"/>
          <w:kern w:val="0"/>
          <w:sz w:val="32"/>
          <w:szCs w:val="32"/>
          <w:lang w:val="en-US" w:eastAsia="zh-CN"/>
        </w:rPr>
        <w:t>9</w:t>
      </w:r>
      <w:r>
        <w:rPr>
          <w:rFonts w:hint="eastAsia" w:ascii="仿宋" w:hAnsi="仿宋" w:eastAsia="仿宋" w:cs="仿宋"/>
          <w:color w:val="auto"/>
          <w:kern w:val="0"/>
          <w:sz w:val="32"/>
          <w:szCs w:val="32"/>
        </w:rPr>
        <w:t>年度无政府采购项目支出，</w:t>
      </w:r>
      <w:r>
        <w:rPr>
          <w:rFonts w:hint="eastAsia" w:ascii="仿宋_GB2312" w:hAnsi="Times New Roman" w:eastAsia="仿宋_GB2312" w:cs="DengXian-Regular"/>
          <w:color w:val="auto"/>
          <w:sz w:val="32"/>
          <w:szCs w:val="32"/>
        </w:rPr>
        <w:t>政府采购支出总额</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万元</w:t>
      </w:r>
      <w:r>
        <w:rPr>
          <w:rFonts w:hint="eastAsia" w:ascii="仿宋_GB2312" w:hAnsi="Times New Roman" w:eastAsia="仿宋_GB2312" w:cs="DengXian-Regular"/>
          <w:sz w:val="32"/>
          <w:szCs w:val="32"/>
        </w:rPr>
        <w:t>，从采购类型来看，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Times New Roman" w:eastAsia="仿宋_GB2312" w:cs="DengXian-Regular"/>
          <w:color w:val="auto"/>
          <w:sz w:val="32"/>
          <w:szCs w:val="32"/>
          <w:lang w:eastAsia="zh-CN"/>
        </w:rPr>
      </w:pPr>
      <w:r>
        <w:rPr>
          <w:rFonts w:hint="eastAsia" w:ascii="仿宋_GB2312" w:hAnsi="Times New Roman" w:eastAsia="仿宋_GB2312" w:cs="DengXian-Regular"/>
          <w:color w:val="auto"/>
          <w:sz w:val="32"/>
          <w:szCs w:val="32"/>
        </w:rPr>
        <w:t>截至2019年12月31日，本部门共有车辆</w:t>
      </w:r>
      <w:r>
        <w:rPr>
          <w:rFonts w:hint="eastAsia" w:ascii="仿宋_GB2312" w:hAnsi="Times New Roman" w:eastAsia="仿宋_GB2312" w:cs="DengXian-Regular"/>
          <w:color w:val="auto"/>
          <w:sz w:val="32"/>
          <w:szCs w:val="32"/>
          <w:lang w:val="en-US" w:eastAsia="zh-CN"/>
        </w:rPr>
        <w:t>17</w:t>
      </w:r>
      <w:r>
        <w:rPr>
          <w:rFonts w:hint="eastAsia" w:ascii="仿宋_GB2312" w:hAnsi="Times New Roman" w:eastAsia="仿宋_GB2312" w:cs="DengXian-Regular"/>
          <w:color w:val="auto"/>
          <w:sz w:val="32"/>
          <w:szCs w:val="32"/>
        </w:rPr>
        <w:t>辆，</w:t>
      </w:r>
      <w:r>
        <w:rPr>
          <w:rFonts w:hint="eastAsia" w:ascii="仿宋_GB2312" w:hAnsi="Times New Roman" w:eastAsia="仿宋_GB2312" w:cs="DengXian-Regular"/>
          <w:color w:val="auto"/>
          <w:sz w:val="32"/>
          <w:szCs w:val="32"/>
          <w:lang w:val="en-US" w:eastAsia="zh-CN"/>
        </w:rPr>
        <w:t>上年本单位，</w:t>
      </w:r>
      <w:r>
        <w:rPr>
          <w:rFonts w:hint="eastAsia" w:ascii="仿宋_GB2312" w:hAnsi="Times New Roman" w:eastAsia="仿宋_GB2312" w:cs="DengXian-Regular"/>
          <w:color w:val="auto"/>
          <w:sz w:val="32"/>
          <w:szCs w:val="32"/>
        </w:rPr>
        <w:t>无增减变化</w:t>
      </w:r>
      <w:r>
        <w:rPr>
          <w:rFonts w:hint="eastAsia" w:ascii="仿宋_GB2312" w:hAnsi="Times New Roman" w:eastAsia="仿宋_GB2312" w:cs="DengXian-Regular"/>
          <w:color w:val="auto"/>
          <w:sz w:val="32"/>
          <w:szCs w:val="32"/>
          <w:lang w:eastAsia="zh-CN"/>
        </w:rPr>
        <w:t>，</w:t>
      </w:r>
      <w:r>
        <w:rPr>
          <w:rFonts w:hint="eastAsia" w:ascii="仿宋" w:hAnsi="仿宋" w:eastAsia="仿宋" w:cs="仿宋"/>
          <w:kern w:val="0"/>
          <w:sz w:val="32"/>
          <w:szCs w:val="32"/>
        </w:rPr>
        <w:t>主要是加强公务用车管理，</w:t>
      </w:r>
      <w:r>
        <w:rPr>
          <w:rFonts w:hint="eastAsia" w:ascii="仿宋" w:hAnsi="仿宋" w:eastAsia="仿宋" w:cs="仿宋"/>
          <w:kern w:val="0"/>
          <w:sz w:val="32"/>
          <w:szCs w:val="32"/>
          <w:lang w:eastAsia="zh-CN"/>
        </w:rPr>
        <w:t>无新购置</w:t>
      </w:r>
      <w:r>
        <w:rPr>
          <w:rFonts w:hint="eastAsia" w:ascii="仿宋" w:hAnsi="仿宋" w:eastAsia="仿宋" w:cs="仿宋"/>
          <w:kern w:val="0"/>
          <w:sz w:val="32"/>
          <w:szCs w:val="32"/>
        </w:rPr>
        <w:t>公务用车</w:t>
      </w:r>
      <w:r>
        <w:rPr>
          <w:rFonts w:hint="eastAsia" w:ascii="仿宋_GB2312" w:hAnsi="Times New Roman" w:eastAsia="仿宋_GB2312" w:cs="DengXian-Regular"/>
          <w:color w:val="auto"/>
          <w:sz w:val="32"/>
          <w:szCs w:val="32"/>
          <w:lang w:eastAsia="zh-CN"/>
        </w:rPr>
        <w:t>。</w:t>
      </w:r>
      <w:r>
        <w:rPr>
          <w:rFonts w:hint="eastAsia" w:ascii="仿宋_GB2312" w:hAnsi="Times New Roman" w:eastAsia="仿宋_GB2312" w:cs="DengXian-Regular"/>
          <w:sz w:val="32"/>
          <w:szCs w:val="32"/>
        </w:rPr>
        <w:t>其中，副部（省）级及以上领导用车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color w:val="auto"/>
          <w:sz w:val="32"/>
          <w:szCs w:val="32"/>
          <w:lang w:eastAsia="zh-CN"/>
        </w:rPr>
        <w:t>日常公务用车。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rPr>
        <w:t>单位价值50万元以上通用设备0台（套），与上年持平，无增减变化</w:t>
      </w:r>
      <w:r>
        <w:rPr>
          <w:rFonts w:hint="eastAsia" w:ascii="仿宋" w:hAnsi="仿宋" w:eastAsia="仿宋" w:cs="仿宋"/>
          <w:kern w:val="0"/>
          <w:sz w:val="32"/>
          <w:szCs w:val="32"/>
          <w:lang w:eastAsia="zh-CN"/>
        </w:rPr>
        <w:t>，</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本单位无此类国有资产</w:t>
      </w:r>
      <w:r>
        <w:rPr>
          <w:rFonts w:hint="eastAsia" w:ascii="仿宋" w:hAnsi="仿宋" w:eastAsia="仿宋" w:cs="仿宋"/>
          <w:kern w:val="0"/>
          <w:sz w:val="32"/>
          <w:szCs w:val="32"/>
        </w:rPr>
        <w:t>；单位价值100万元以上专用设备0台（套），与上年持平，无增减变化</w:t>
      </w:r>
      <w:r>
        <w:rPr>
          <w:rFonts w:hint="eastAsia" w:ascii="仿宋" w:hAnsi="仿宋" w:eastAsia="仿宋" w:cs="仿宋"/>
          <w:kern w:val="0"/>
          <w:sz w:val="32"/>
          <w:szCs w:val="32"/>
          <w:lang w:eastAsia="zh-CN"/>
        </w:rPr>
        <w:t>，</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本单位无此类国有资产。</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bookmarkStart w:id="0" w:name="_GoBack"/>
      <w:bookmarkEnd w:id="0"/>
    </w:p>
    <w:p>
      <w:pPr>
        <w:pageBreakBefore w:val="0"/>
        <w:kinsoku/>
        <w:wordWrap/>
        <w:overflowPunct/>
        <w:topLinePunct w:val="0"/>
        <w:bidi w:val="0"/>
        <w:adjustRightInd/>
        <w:snapToGrid/>
        <w:spacing w:line="240" w:lineRule="auto"/>
        <w:ind w:firstLine="640" w:firstLineChars="200"/>
        <w:textAlignment w:val="auto"/>
        <w:rPr>
          <w:rFonts w:ascii="仿宋_GB2312" w:hAnsi="Times New Roman" w:eastAsia="仿宋_GB2312" w:cs="DengXian-Regular"/>
          <w:color w:val="auto"/>
          <w:sz w:val="32"/>
          <w:szCs w:val="32"/>
        </w:rPr>
      </w:pPr>
      <w:r>
        <w:rPr>
          <w:rFonts w:hint="eastAsia" w:ascii="仿宋_GB2312" w:hAnsi="Times New Roman" w:eastAsia="仿宋_GB2312" w:cs="DengXian-Regular"/>
          <w:color w:val="auto"/>
          <w:sz w:val="32"/>
          <w:szCs w:val="32"/>
        </w:rPr>
        <w:t>1. 本部门2019年度</w:t>
      </w:r>
      <w:r>
        <w:rPr>
          <w:rFonts w:hint="eastAsia" w:ascii="仿宋" w:hAnsi="仿宋" w:eastAsia="仿宋" w:cs="仿宋"/>
          <w:color w:val="auto"/>
          <w:kern w:val="0"/>
          <w:sz w:val="32"/>
          <w:szCs w:val="32"/>
        </w:rPr>
        <w:t>政府性基金预算财政拨款和国有资本经营预算财政拨款无收支及结转结余情况，故</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政府性基金预算财政拨款收入支出决算表</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和</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国有资本经营预算财政拨款支出决算表</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jc w:val="both"/>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bidi w:val="0"/>
        <w:rPr>
          <w:rFonts w:asciiTheme="minorHAnsi" w:hAnsiTheme="minorHAnsi" w:eastAsiaTheme="minorEastAsia" w:cstheme="minorBidi"/>
          <w:kern w:val="2"/>
          <w:sz w:val="21"/>
          <w:szCs w:val="22"/>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pageBreakBefore w:val="0"/>
        <w:widowControl/>
        <w:kinsoku/>
        <w:wordWrap/>
        <w:overflowPunct/>
        <w:topLinePunct w:val="0"/>
        <w:bidi w:val="0"/>
        <w:adjustRightInd/>
        <w:snapToGrid/>
        <w:spacing w:line="240" w:lineRule="auto"/>
        <w:ind w:left="640" w:firstLine="420" w:firstLineChars="200"/>
        <w:textAlignment w:val="auto"/>
        <w:rPr>
          <w:rFonts w:ascii="仿宋" w:hAnsi="仿宋" w:eastAsia="仿宋"/>
          <w:sz w:val="32"/>
          <w:szCs w:val="32"/>
          <w:highlight w:val="none"/>
        </w:rPr>
      </w:pPr>
      <w:r>
        <w:rPr>
          <w:rFonts w:hint="eastAsia"/>
          <w:lang w:val="en-US" w:eastAsia="zh-CN"/>
        </w:rPr>
        <w:tab/>
      </w:r>
      <w:r>
        <w:rPr>
          <w:rFonts w:hint="eastAsia" w:ascii="仿宋" w:hAnsi="仿宋" w:eastAsia="仿宋"/>
          <w:sz w:val="32"/>
          <w:szCs w:val="32"/>
          <w:highlight w:val="none"/>
        </w:rPr>
        <w:t>本部门应公开</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张决算表格，即：</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一、收入支出决算总表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01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二、收入决算表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02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三、支出决算表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03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四、财政拨款收入支出决算总表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04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五、</w:t>
      </w:r>
      <w:r>
        <w:rPr>
          <w:rFonts w:eastAsia="仿宋_GB2312"/>
          <w:sz w:val="32"/>
          <w:szCs w:val="32"/>
        </w:rPr>
        <w:t>一般公共预算财政拨款支出决算表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05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六、</w:t>
      </w:r>
      <w:r>
        <w:rPr>
          <w:rFonts w:eastAsia="仿宋_GB2312"/>
          <w:sz w:val="32"/>
          <w:szCs w:val="32"/>
        </w:rPr>
        <w:t>一般公共预算财政拨款基本支出决算表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06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07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darkCyan"/>
        </w:rPr>
      </w:pPr>
      <w:r>
        <w:rPr>
          <w:rFonts w:hint="eastAsia" w:ascii="仿宋" w:hAnsi="仿宋" w:eastAsia="仿宋"/>
          <w:sz w:val="32"/>
          <w:szCs w:val="32"/>
          <w:highlight w:val="none"/>
        </w:rPr>
        <w:t>八、</w:t>
      </w:r>
      <w:r>
        <w:rPr>
          <w:rFonts w:eastAsia="仿宋_GB2312"/>
          <w:sz w:val="32"/>
          <w:szCs w:val="32"/>
        </w:rPr>
        <w:t>政府性基金预算财政拨款收入支出决算表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08</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09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hint="eastAsia" w:ascii="仿宋" w:hAnsi="仿宋" w:eastAsia="仿宋" w:cs="宋体"/>
          <w:kern w:val="0"/>
          <w:sz w:val="32"/>
          <w:szCs w:val="32"/>
          <w:highlight w:val="none"/>
        </w:rPr>
      </w:pPr>
    </w:p>
    <w:p>
      <w:pPr>
        <w:pageBreakBefore w:val="0"/>
        <w:kinsoku/>
        <w:wordWrap/>
        <w:overflowPunct/>
        <w:topLinePunct w:val="0"/>
        <w:autoSpaceDE w:val="0"/>
        <w:autoSpaceDN w:val="0"/>
        <w:bidi w:val="0"/>
        <w:adjustRightInd/>
        <w:snapToGrid/>
        <w:spacing w:line="240" w:lineRule="auto"/>
        <w:ind w:firstLine="640" w:firstLineChars="200"/>
        <w:textAlignment w:val="auto"/>
        <w:rPr>
          <w:rFonts w:ascii="仿宋" w:hAnsi="仿宋" w:eastAsia="仿宋" w:cs="宋体"/>
          <w:kern w:val="0"/>
          <w:sz w:val="32"/>
          <w:szCs w:val="32"/>
          <w:highlight w:val="none"/>
        </w:rPr>
      </w:pPr>
      <w:r>
        <w:rPr>
          <w:rFonts w:hint="eastAsia" w:ascii="仿宋" w:hAnsi="仿宋" w:eastAsia="仿宋" w:cs="宋体"/>
          <w:kern w:val="0"/>
          <w:sz w:val="32"/>
          <w:szCs w:val="32"/>
          <w:highlight w:val="none"/>
        </w:rPr>
        <w:t>详见附表：《高邑县</w:t>
      </w:r>
      <w:r>
        <w:rPr>
          <w:rFonts w:hint="eastAsia" w:ascii="仿宋" w:hAnsi="仿宋" w:eastAsia="仿宋" w:cs="宋体"/>
          <w:kern w:val="0"/>
          <w:sz w:val="32"/>
          <w:szCs w:val="32"/>
          <w:highlight w:val="none"/>
          <w:lang w:val="en-US" w:eastAsia="zh-CN"/>
        </w:rPr>
        <w:t>市场监督管理局</w:t>
      </w:r>
      <w:r>
        <w:rPr>
          <w:rFonts w:ascii="仿宋" w:hAnsi="仿宋" w:eastAsia="仿宋" w:cs="宋体"/>
          <w:kern w:val="0"/>
          <w:sz w:val="32"/>
          <w:szCs w:val="32"/>
          <w:highlight w:val="none"/>
        </w:rPr>
        <w:t>201</w:t>
      </w:r>
      <w:r>
        <w:rPr>
          <w:rFonts w:hint="eastAsia" w:ascii="仿宋" w:hAnsi="仿宋" w:eastAsia="仿宋" w:cs="宋体"/>
          <w:kern w:val="0"/>
          <w:sz w:val="32"/>
          <w:szCs w:val="32"/>
          <w:highlight w:val="none"/>
          <w:lang w:val="en-US" w:eastAsia="zh-CN"/>
        </w:rPr>
        <w:t>9</w:t>
      </w:r>
      <w:r>
        <w:rPr>
          <w:rFonts w:hint="eastAsia" w:ascii="仿宋" w:hAnsi="仿宋" w:eastAsia="仿宋" w:cs="宋体"/>
          <w:kern w:val="0"/>
          <w:sz w:val="32"/>
          <w:szCs w:val="32"/>
          <w:highlight w:val="none"/>
        </w:rPr>
        <w:t>年度部门决算公开表》</w:t>
      </w:r>
    </w:p>
    <w:p>
      <w:pPr>
        <w:tabs>
          <w:tab w:val="left" w:pos="7199"/>
        </w:tabs>
        <w:bidi w:val="0"/>
        <w:jc w:val="left"/>
        <w:rPr>
          <w:lang w:val="en-US" w:eastAsia="zh-CN"/>
        </w:rPr>
        <w:sectPr>
          <w:headerReference r:id="rId23" w:type="default"/>
          <w:pgSz w:w="11906" w:h="16838"/>
          <w:pgMar w:top="2098" w:right="1474" w:bottom="1985" w:left="1588" w:header="851" w:footer="992" w:gutter="0"/>
          <w:pgNumType w:fmt="numberInDash"/>
          <w:cols w:space="425" w:num="1"/>
          <w:docGrid w:type="lines" w:linePitch="312" w:charSpace="0"/>
        </w:sectPr>
      </w:pPr>
    </w:p>
    <w:p>
      <w:pPr>
        <w:tabs>
          <w:tab w:val="left" w:pos="886"/>
        </w:tabs>
        <w:jc w:val="left"/>
      </w:pPr>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28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28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38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48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48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58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974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8720"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872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203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203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305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305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998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998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100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69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79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07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17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564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462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462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6672"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6672;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769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135F3033"/>
    <w:rsid w:val="18712B82"/>
    <w:rsid w:val="31C2036A"/>
    <w:rsid w:val="320D02A5"/>
    <w:rsid w:val="348E566F"/>
    <w:rsid w:val="3A226944"/>
    <w:rsid w:val="3AEE6A48"/>
    <w:rsid w:val="3C1620AA"/>
    <w:rsid w:val="3D8F080F"/>
    <w:rsid w:val="44795EE0"/>
    <w:rsid w:val="44CE1FA4"/>
    <w:rsid w:val="487F73ED"/>
    <w:rsid w:val="4A347EAE"/>
    <w:rsid w:val="52600405"/>
    <w:rsid w:val="529B4319"/>
    <w:rsid w:val="57413EA0"/>
    <w:rsid w:val="57773DD6"/>
    <w:rsid w:val="578B79AB"/>
    <w:rsid w:val="5A3B5571"/>
    <w:rsid w:val="5BF319AA"/>
    <w:rsid w:val="5CCD3FD5"/>
    <w:rsid w:val="5EED08FB"/>
    <w:rsid w:val="61FA5F9D"/>
    <w:rsid w:val="64CD6910"/>
    <w:rsid w:val="6789158D"/>
    <w:rsid w:val="67D81BA4"/>
    <w:rsid w:val="6AAF1C96"/>
    <w:rsid w:val="75681757"/>
    <w:rsid w:val="75A346A8"/>
    <w:rsid w:val="79B9382C"/>
    <w:rsid w:val="7B043B76"/>
    <w:rsid w:val="7C041A6A"/>
    <w:rsid w:val="7D33668D"/>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a:t>
            </a:r>
            <a:r>
              <a:rPr altLang="en-US"/>
              <a:t>：收入构成情况</a:t>
            </a:r>
            <a:endParaRPr lang="en-US" altLang="zh-CN"/>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[工作簿1]Sheet1!$J$6:$J$9</c:f>
              <c:strCache>
                <c:ptCount val="4"/>
                <c:pt idx="0">
                  <c:v>财政拨款</c:v>
                </c:pt>
                <c:pt idx="1">
                  <c:v>事业收入</c:v>
                </c:pt>
                <c:pt idx="2">
                  <c:v>经营收入</c:v>
                </c:pt>
                <c:pt idx="3">
                  <c:v>其他收入</c:v>
                </c:pt>
              </c:strCache>
            </c:strRef>
          </c:cat>
          <c:val>
            <c:numRef>
              <c:f>[工作簿1]Sheet1!$K$6:$K$9</c:f>
              <c:numCache>
                <c:formatCode>General</c:formatCode>
                <c:ptCount val="4"/>
                <c:pt idx="0">
                  <c:v>1578</c:v>
                </c:pt>
                <c:pt idx="1">
                  <c:v>0</c:v>
                </c:pt>
                <c:pt idx="2">
                  <c:v>0</c:v>
                </c:pt>
                <c:pt idx="3">
                  <c:v>15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23680555555556"/>
          <c:y val="0.89907407407407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a:t>
            </a:r>
            <a:r>
              <a:rPr altLang="en-US"/>
              <a:t>：支出构成情况</a:t>
            </a:r>
            <a:endParaRPr lang="en-US" altLang="zh-CN"/>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[工作簿1]Sheet1!$H$60:$H$61</c:f>
              <c:strCache>
                <c:ptCount val="2"/>
                <c:pt idx="0">
                  <c:v>基本支出</c:v>
                </c:pt>
                <c:pt idx="1">
                  <c:v>项目支出</c:v>
                </c:pt>
              </c:strCache>
            </c:strRef>
          </c:cat>
          <c:val>
            <c:numRef>
              <c:f>[工作簿1]Sheet1!$I$60:$I$61</c:f>
              <c:numCache>
                <c:formatCode>General</c:formatCode>
                <c:ptCount val="2"/>
                <c:pt idx="0">
                  <c:v>1515</c:v>
                </c:pt>
                <c:pt idx="1">
                  <c:v>60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370208333333333"/>
          <c:y val="0.89513888888888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3:2019</a:t>
            </a:r>
            <a:r>
              <a:rPr altLang="en-US"/>
              <a:t>年财政拨款收支情况</a:t>
            </a:r>
            <a:endParaRPr lang="en-US" altLang="zh-CN"/>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[工作簿1]Sheet1!$H$85:$H$86</c:f>
              <c:strCache>
                <c:ptCount val="2"/>
                <c:pt idx="0">
                  <c:v>本年收入</c:v>
                </c:pt>
                <c:pt idx="1">
                  <c:v>本年支出</c:v>
                </c:pt>
              </c:strCache>
            </c:strRef>
          </c:cat>
          <c:val>
            <c:numRef>
              <c:f>[工作簿1]Sheet1!$I$85:$I$86</c:f>
              <c:numCache>
                <c:formatCode>General</c:formatCode>
                <c:ptCount val="2"/>
                <c:pt idx="0">
                  <c:v>1578</c:v>
                </c:pt>
                <c:pt idx="1">
                  <c:v>1593</c:v>
                </c:pt>
              </c:numCache>
            </c:numRef>
          </c:val>
        </c:ser>
        <c:dLbls>
          <c:showLegendKey val="0"/>
          <c:showVal val="1"/>
          <c:showCatName val="0"/>
          <c:showSerName val="0"/>
          <c:showPercent val="0"/>
          <c:showBubbleSize val="0"/>
        </c:dLbls>
        <c:gapWidth val="219"/>
        <c:overlap val="-27"/>
        <c:axId val="117585350"/>
        <c:axId val="136652279"/>
      </c:barChart>
      <c:catAx>
        <c:axId val="11758535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652279"/>
        <c:crosses val="autoZero"/>
        <c:auto val="1"/>
        <c:lblAlgn val="ctr"/>
        <c:lblOffset val="100"/>
        <c:noMultiLvlLbl val="0"/>
      </c:catAx>
      <c:valAx>
        <c:axId val="1366522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758535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4</a:t>
            </a:r>
            <a:r>
              <a:rPr altLang="en-US"/>
              <a:t>：财政拨款收支预决算对比情况</a:t>
            </a:r>
            <a:endParaRPr lang="en-US" altLang="zh-CN"/>
          </a:p>
        </c:rich>
      </c:tx>
      <c:layout>
        <c:manualLayout>
          <c:xMode val="edge"/>
          <c:yMode val="edge"/>
          <c:x val="0.187361111111111"/>
          <c:y val="0.0122635933806147"/>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[工作簿1]Sheet1!$F$101:$G$105</c:f>
              <c:multiLvlStrCache>
                <c:ptCount val="5"/>
                <c:lvl>
                  <c:pt idx="0">
                    <c:v>预算</c:v>
                  </c:pt>
                  <c:pt idx="1">
                    <c:v>决算</c:v>
                  </c:pt>
                  <c:pt idx="3">
                    <c:v>预算</c:v>
                  </c:pt>
                  <c:pt idx="4">
                    <c:v>决算</c:v>
                  </c:pt>
                </c:lvl>
                <c:lvl>
                  <c:pt idx="0">
                    <c:v>收入</c:v>
                  </c:pt>
                  <c:pt idx="3">
                    <c:v>支出</c:v>
                  </c:pt>
                </c:lvl>
              </c:multiLvlStrCache>
            </c:multiLvlStrRef>
          </c:cat>
          <c:val>
            <c:numRef>
              <c:f>[工作簿1]Sheet1!$H$101:$H$105</c:f>
              <c:numCache>
                <c:formatCode>General</c:formatCode>
                <c:ptCount val="5"/>
                <c:pt idx="0">
                  <c:v>1649</c:v>
                </c:pt>
                <c:pt idx="1">
                  <c:v>1578</c:v>
                </c:pt>
                <c:pt idx="3">
                  <c:v>1649</c:v>
                </c:pt>
                <c:pt idx="4">
                  <c:v>1593</c:v>
                </c:pt>
              </c:numCache>
            </c:numRef>
          </c:val>
        </c:ser>
        <c:dLbls>
          <c:showLegendKey val="0"/>
          <c:showVal val="1"/>
          <c:showCatName val="0"/>
          <c:showSerName val="0"/>
          <c:showPercent val="0"/>
          <c:showBubbleSize val="0"/>
        </c:dLbls>
        <c:gapWidth val="219"/>
        <c:overlap val="-27"/>
        <c:axId val="562015040"/>
        <c:axId val="206011975"/>
      </c:barChart>
      <c:catAx>
        <c:axId val="5620150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011975"/>
        <c:crosses val="autoZero"/>
        <c:auto val="1"/>
        <c:lblAlgn val="ctr"/>
        <c:lblOffset val="100"/>
        <c:noMultiLvlLbl val="0"/>
      </c:catAx>
      <c:valAx>
        <c:axId val="2060119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20150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a:t>
            </a:r>
            <a:endParaRPr lang="en-US" altLang="zh-CN"/>
          </a:p>
        </c:rich>
      </c:tx>
      <c:layout>
        <c:manualLayout>
          <c:xMode val="edge"/>
          <c:yMode val="edge"/>
          <c:x val="0.274861111111111"/>
          <c:y val="0.0208333333333333"/>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[工作簿1]Sheet1!$H$133:$H$137</c:f>
              <c:strCache>
                <c:ptCount val="5"/>
                <c:pt idx="0">
                  <c:v>一般公共服务</c:v>
                </c:pt>
                <c:pt idx="1">
                  <c:v>社会保障和就业</c:v>
                </c:pt>
                <c:pt idx="2">
                  <c:v>卫生健康</c:v>
                </c:pt>
                <c:pt idx="3">
                  <c:v>资源勘探信息</c:v>
                </c:pt>
                <c:pt idx="4">
                  <c:v>住房保障</c:v>
                </c:pt>
              </c:strCache>
            </c:strRef>
          </c:cat>
          <c:val>
            <c:numRef>
              <c:f>[工作簿1]Sheet1!$I$133:$I$137</c:f>
              <c:numCache>
                <c:formatCode>General</c:formatCode>
                <c:ptCount val="5"/>
                <c:pt idx="0">
                  <c:v>1095</c:v>
                </c:pt>
                <c:pt idx="1">
                  <c:v>233</c:v>
                </c:pt>
                <c:pt idx="2">
                  <c:v>62</c:v>
                </c:pt>
                <c:pt idx="3">
                  <c:v>50</c:v>
                </c:pt>
                <c:pt idx="4">
                  <c:v>135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5</TotalTime>
  <ScaleCrop>false</ScaleCrop>
  <LinksUpToDate>false</LinksUpToDate>
  <CharactersWithSpaces>11119</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2021-06-16T16:14:34Z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B439D81334A746D5AD27E8937B784515</vt:lpwstr>
  </property>
</Properties>
</file>