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220870">
      <w:pPr>
        <w:widowControl/>
        <w:jc w:val="center"/>
        <w:rPr>
          <w:rFonts w:ascii="黑体" w:hAnsi="黑体" w:eastAsia="黑体"/>
          <w:b/>
          <w:sz w:val="72"/>
          <w:szCs w:val="72"/>
        </w:rPr>
      </w:pPr>
      <w:r>
        <w:pict>
          <v:shape id="图片 7" o:spid="_x0000_s1026" o:spt="75" alt="wc ga" type="#_x0000_t75" style="position:absolute;left:0pt;margin-left:-78pt;margin-top:-109.7pt;height:850.15pt;width:596.6pt;z-index:-251657216;mso-width-relative:page;mso-height-relative:page;" filled="f" o:preferrelative="t" stroked="f" coordsize="21600,21600">
            <v:path/>
            <v:fill on="f" focussize="0,0"/>
            <v:stroke on="f" joinstyle="miter"/>
            <v:imagedata r:id="rId6" o:title=""/>
            <o:lock v:ext="edit" aspectratio="t"/>
          </v:shape>
        </w:pict>
      </w:r>
    </w:p>
    <w:p w14:paraId="319E294D">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66432;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2688F20F">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高邑县交通运输局</w:t>
                  </w:r>
                </w:p>
                <w:p w14:paraId="14AEAE8B">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14:paraId="6DCEED07">
                  <w:pPr>
                    <w:rPr>
                      <w:color w:val="FDEFBE"/>
                      <w:sz w:val="96"/>
                      <w:szCs w:val="96"/>
                    </w:rPr>
                  </w:pPr>
                </w:p>
              </w:txbxContent>
            </v:textbox>
          </v:shape>
        </w:pict>
      </w:r>
    </w:p>
    <w:p w14:paraId="2C84F4A6">
      <w:pPr>
        <w:widowControl/>
        <w:jc w:val="center"/>
        <w:rPr>
          <w:rFonts w:ascii="黑体" w:hAnsi="黑体" w:eastAsia="黑体"/>
          <w:b/>
          <w:sz w:val="72"/>
          <w:szCs w:val="72"/>
        </w:rPr>
      </w:pPr>
    </w:p>
    <w:p w14:paraId="7AA0D2DA">
      <w:pPr>
        <w:widowControl/>
        <w:jc w:val="center"/>
        <w:rPr>
          <w:rFonts w:ascii="黑体" w:hAnsi="黑体" w:eastAsia="黑体"/>
          <w:b/>
          <w:sz w:val="72"/>
          <w:szCs w:val="72"/>
        </w:rPr>
      </w:pPr>
    </w:p>
    <w:p w14:paraId="38883303">
      <w:pPr>
        <w:widowControl/>
        <w:jc w:val="center"/>
        <w:rPr>
          <w:rFonts w:ascii="黑体" w:hAnsi="黑体" w:eastAsia="黑体"/>
          <w:b/>
          <w:sz w:val="72"/>
          <w:szCs w:val="72"/>
        </w:rPr>
      </w:pPr>
    </w:p>
    <w:p w14:paraId="4682062D">
      <w:pPr>
        <w:widowControl/>
        <w:jc w:val="center"/>
        <w:rPr>
          <w:rFonts w:ascii="黑体" w:hAnsi="黑体" w:eastAsia="黑体"/>
          <w:b/>
          <w:sz w:val="72"/>
          <w:szCs w:val="72"/>
        </w:rPr>
      </w:pPr>
      <w:bookmarkStart w:id="0" w:name="_GoBack"/>
      <w:bookmarkEnd w:id="0"/>
    </w:p>
    <w:p w14:paraId="34BE61A1">
      <w:pPr>
        <w:widowControl/>
        <w:jc w:val="center"/>
        <w:rPr>
          <w:rFonts w:ascii="黑体" w:hAnsi="黑体" w:eastAsia="黑体"/>
          <w:b/>
          <w:sz w:val="72"/>
          <w:szCs w:val="72"/>
        </w:rPr>
      </w:pPr>
    </w:p>
    <w:p w14:paraId="3EE3C76D">
      <w:pPr>
        <w:widowControl/>
        <w:jc w:val="center"/>
        <w:rPr>
          <w:rFonts w:ascii="黑体" w:hAnsi="黑体" w:eastAsia="黑体"/>
          <w:b/>
          <w:sz w:val="72"/>
          <w:szCs w:val="72"/>
        </w:rPr>
      </w:pPr>
    </w:p>
    <w:p w14:paraId="60CB8272">
      <w:pPr>
        <w:widowControl/>
        <w:jc w:val="center"/>
        <w:rPr>
          <w:rFonts w:ascii="黑体" w:hAnsi="黑体" w:eastAsia="黑体"/>
          <w:b/>
          <w:sz w:val="72"/>
          <w:szCs w:val="72"/>
        </w:rPr>
      </w:pPr>
    </w:p>
    <w:p w14:paraId="1FC6BF9A">
      <w:pPr>
        <w:widowControl/>
        <w:jc w:val="center"/>
        <w:rPr>
          <w:rFonts w:ascii="黑体" w:hAnsi="黑体" w:eastAsia="黑体"/>
          <w:b/>
          <w:sz w:val="72"/>
          <w:szCs w:val="72"/>
        </w:rPr>
      </w:pPr>
    </w:p>
    <w:p w14:paraId="181FFF44">
      <w:pPr>
        <w:widowControl/>
        <w:jc w:val="center"/>
        <w:rPr>
          <w:rFonts w:ascii="楷体" w:hAnsi="楷体" w:eastAsia="楷体" w:cs="楷体"/>
          <w:b/>
          <w:sz w:val="40"/>
          <w:szCs w:val="40"/>
        </w:rPr>
      </w:pPr>
    </w:p>
    <w:p w14:paraId="5C41B050">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月八日</w:t>
      </w:r>
    </w:p>
    <w:p w14:paraId="1F5D3F4D">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78720;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29"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0"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03A86645">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14:paraId="048AB6F3">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14:paraId="1D722B33">
      <w:pPr>
        <w:widowControl/>
        <w:spacing w:line="580" w:lineRule="exact"/>
        <w:ind w:firstLine="640" w:firstLineChars="200"/>
        <w:rPr>
          <w:rFonts w:eastAsia="黑体"/>
          <w:sz w:val="32"/>
          <w:szCs w:val="32"/>
        </w:rPr>
      </w:pPr>
    </w:p>
    <w:p w14:paraId="3D329672">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r>
        <w:rPr>
          <w:rFonts w:eastAsia="仿宋_GB2312"/>
          <w:sz w:val="24"/>
          <w:szCs w:val="32"/>
        </w:rPr>
        <w:t xml:space="preserve"> </w:t>
      </w:r>
    </w:p>
    <w:p w14:paraId="3394A16B">
      <w:pPr>
        <w:widowControl/>
        <w:spacing w:line="580" w:lineRule="exact"/>
        <w:ind w:firstLine="1273" w:firstLineChars="398"/>
        <w:rPr>
          <w:rFonts w:eastAsia="仿宋_GB2312"/>
          <w:sz w:val="32"/>
          <w:szCs w:val="32"/>
        </w:rPr>
      </w:pPr>
      <w:r>
        <w:rPr>
          <w:rFonts w:hint="eastAsia" w:eastAsia="仿宋_GB2312"/>
          <w:sz w:val="32"/>
          <w:szCs w:val="32"/>
        </w:rPr>
        <w:t>一、部门职责</w:t>
      </w:r>
    </w:p>
    <w:p w14:paraId="43510B9B">
      <w:pPr>
        <w:widowControl/>
        <w:spacing w:line="580" w:lineRule="exact"/>
        <w:ind w:firstLine="1273" w:firstLineChars="398"/>
        <w:rPr>
          <w:rFonts w:eastAsia="仿宋_GB2312"/>
          <w:sz w:val="32"/>
          <w:szCs w:val="32"/>
        </w:rPr>
      </w:pPr>
      <w:r>
        <w:rPr>
          <w:rFonts w:hint="eastAsia" w:eastAsia="仿宋_GB2312"/>
          <w:sz w:val="32"/>
          <w:szCs w:val="32"/>
        </w:rPr>
        <w:t>二、机构设置</w:t>
      </w:r>
    </w:p>
    <w:p w14:paraId="762ABE30">
      <w:pPr>
        <w:widowControl/>
        <w:spacing w:line="580" w:lineRule="exact"/>
        <w:ind w:firstLine="640" w:firstLineChars="200"/>
        <w:rPr>
          <w:rFonts w:eastAsia="黑体"/>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年度部门决算报表（另见附表）</w:t>
      </w:r>
    </w:p>
    <w:p w14:paraId="02062CF5">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14:paraId="6CB05A44">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14:paraId="228D78CC">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14:paraId="329B4090">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14:paraId="7BCCF783">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14:paraId="626CF56E">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14:paraId="743A14E8">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14:paraId="332B22B0">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14:paraId="071396A5">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14:paraId="6E3E2608">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14:paraId="0070960B">
      <w:pPr>
        <w:widowControl/>
        <w:spacing w:line="580" w:lineRule="exact"/>
        <w:ind w:firstLine="640" w:firstLineChars="200"/>
        <w:rPr>
          <w:rFonts w:eastAsia="黑体"/>
          <w:sz w:val="32"/>
          <w:szCs w:val="32"/>
        </w:rPr>
      </w:pPr>
    </w:p>
    <w:p w14:paraId="6C042103">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高邑县交通运输局</w:t>
      </w:r>
      <w:r>
        <w:rPr>
          <w:rFonts w:eastAsia="黑体"/>
          <w:sz w:val="32"/>
          <w:szCs w:val="32"/>
        </w:rPr>
        <w:t>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7769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032"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33"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13FBDBDF">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14:paraId="73ECF1AC">
                    <w:pPr>
                      <w:jc w:val="center"/>
                    </w:pPr>
                  </w:p>
                </w:txbxContent>
              </v:textbox>
            </v:rect>
            <w10:anchorlock/>
          </v:group>
        </w:pict>
      </w:r>
    </w:p>
    <w:p w14:paraId="31C8B604">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14:paraId="78070C16">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14:paraId="69AA1C22">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14:paraId="35CC64AC">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14:paraId="0CE076F8">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14:paraId="6552C904">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14:paraId="02AD40F3">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14:paraId="78FBD857">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14:paraId="04B50E00">
      <w:pPr>
        <w:widowControl/>
        <w:spacing w:line="580" w:lineRule="exact"/>
        <w:ind w:firstLine="640" w:firstLineChars="200"/>
        <w:rPr>
          <w:rFonts w:eastAsia="黑体"/>
          <w:sz w:val="32"/>
          <w:szCs w:val="32"/>
        </w:rPr>
      </w:pPr>
    </w:p>
    <w:p w14:paraId="15F746A2">
      <w:pPr>
        <w:widowControl/>
        <w:spacing w:line="580" w:lineRule="exact"/>
        <w:ind w:firstLine="640" w:firstLineChars="200"/>
        <w:rPr>
          <w:rFonts w:eastAsia="黑体"/>
          <w:sz w:val="32"/>
          <w:szCs w:val="32"/>
        </w:rPr>
      </w:pPr>
    </w:p>
    <w:p w14:paraId="606F8ABB">
      <w:pPr>
        <w:widowControl/>
        <w:spacing w:line="580" w:lineRule="exact"/>
        <w:ind w:firstLine="640" w:firstLineChars="200"/>
        <w:rPr>
          <w:rFonts w:eastAsia="黑体"/>
          <w:sz w:val="32"/>
          <w:szCs w:val="32"/>
        </w:rPr>
      </w:pPr>
    </w:p>
    <w:p w14:paraId="68B8E2BF">
      <w:pPr>
        <w:widowControl/>
        <w:spacing w:line="580" w:lineRule="exact"/>
        <w:ind w:firstLine="640" w:firstLineChars="200"/>
        <w:rPr>
          <w:rFonts w:eastAsia="黑体"/>
          <w:sz w:val="32"/>
          <w:szCs w:val="32"/>
        </w:rPr>
      </w:pPr>
    </w:p>
    <w:p w14:paraId="2EA3BC7D">
      <w:r>
        <w:br w:type="page"/>
      </w:r>
    </w:p>
    <w:p w14:paraId="7C861277">
      <w:r>
        <w:pict>
          <v:shape id="图片 12" o:spid="_x0000_s1034" o:spt="75" alt="2" type="#_x0000_t75" style="position:absolute;left:0pt;margin-left:-80.7pt;margin-top:-106.45pt;height:844.65pt;width:597.3pt;z-index:-251656192;mso-width-relative:page;mso-height-relative:page;" filled="f" o:preferrelative="t" stroked="f" coordsize="21600,21600">
            <v:path/>
            <v:fill on="f" focussize="0,0"/>
            <v:stroke on="f" joinstyle="miter"/>
            <v:imagedata r:id="rId7" o:title=""/>
            <o:lock v:ext="edit" aspectratio="t"/>
          </v:shape>
        </w:pict>
      </w:r>
      <w:r>
        <w:pict>
          <v:shape id="_x0000_s1035" o:spid="_x0000_s1035"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5DF29BB7">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14:paraId="2A50F15C"/>
    <w:p w14:paraId="0F1EBC10"/>
    <w:p w14:paraId="6D937E67"/>
    <w:p w14:paraId="5C359470"/>
    <w:p w14:paraId="47B447D5"/>
    <w:p w14:paraId="7AA8B4A9"/>
    <w:p w14:paraId="2ECA4C9C"/>
    <w:p w14:paraId="6F7FB568"/>
    <w:p w14:paraId="07DD8259"/>
    <w:p w14:paraId="317D2B5A"/>
    <w:p w14:paraId="0E3E3193"/>
    <w:p w14:paraId="73F5750C"/>
    <w:p w14:paraId="2CE1D583"/>
    <w:p w14:paraId="1F7F7B80"/>
    <w:p w14:paraId="54315490"/>
    <w:p w14:paraId="2987422D">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6745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37" o:spid="_x0000_s1037"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4B7CA5A">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14:paraId="24B00993">
                    <w:pPr>
                      <w:jc w:val="center"/>
                    </w:pPr>
                  </w:p>
                </w:txbxContent>
              </v:textbox>
            </v:rect>
            <w10:anchorlock/>
          </v:group>
        </w:pict>
      </w:r>
      <w:r>
        <w:rPr>
          <w:rFonts w:hint="eastAsia" w:ascii="黑体" w:hAnsi="Cambria" w:eastAsia="黑体" w:cs="黑体"/>
          <w:b w:val="0"/>
          <w:bCs w:val="0"/>
          <w:kern w:val="0"/>
          <w:sz w:val="32"/>
          <w:szCs w:val="32"/>
        </w:rPr>
        <w:t>一、部门职责</w:t>
      </w:r>
    </w:p>
    <w:p w14:paraId="59E47AB5">
      <w:pPr>
        <w:widowControl/>
        <w:spacing w:line="384" w:lineRule="auto"/>
        <w:ind w:firstLine="643" w:firstLineChars="200"/>
        <w:jc w:val="left"/>
        <w:outlineLvl w:val="0"/>
        <w:rPr>
          <w:rFonts w:ascii="Arial" w:hAnsi="Arial" w:eastAsia="仿宋" w:cs="Arial"/>
          <w:b/>
          <w:color w:val="333333"/>
          <w:kern w:val="0"/>
          <w:sz w:val="32"/>
          <w:szCs w:val="21"/>
        </w:rPr>
      </w:pPr>
      <w:r>
        <w:rPr>
          <w:rFonts w:hint="eastAsia" w:ascii="Arial" w:hAnsi="Arial" w:eastAsia="仿宋" w:cs="Arial"/>
          <w:b/>
          <w:color w:val="333333"/>
          <w:kern w:val="0"/>
          <w:sz w:val="32"/>
          <w:szCs w:val="21"/>
        </w:rPr>
        <w:t>高邑县交通运输局主要职责</w:t>
      </w:r>
    </w:p>
    <w:p w14:paraId="5BE4C886">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（一）承担全县综合运输体系的规划协调，会同有关部门组织编制全县综合运输体系规划，指导交通运输枢纽规划和管理。</w:t>
      </w:r>
    </w:p>
    <w:p w14:paraId="6BC76E0C">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二）组织拟订并监督实施全县公路、水路等行业规划、政策和标准。组织起草地方性交通运输法规和规章草案。负责全县港口规划和岸线使用管理。参与拟订物流业发展规划，拟订有关政策和标准并监督实施。指导公路、水路行业体制改革。</w:t>
      </w:r>
    </w:p>
    <w:p w14:paraId="723928DB">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三）承担全县公路、水路运输市场监管责任。组织拟订公路、水路运输有关政策、准入退出制度、技术标准和运营规划并监督实施。负责运输市场、运输服务、车辆维修、停车场、搬运装卸、机动车性能检测、机动车驾驶学校和驾驶员培训的行业管理。指导城乡客运及有关设施规划和管理。指导出租汽车行业管理。</w:t>
      </w:r>
    </w:p>
    <w:p w14:paraId="76E57153">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四）承担管辖水域水上交通安全监管责任。负责水上交通管制、船舶及相关水上设施检验、登记和防止污染、船舶与港口设施保安及危险品运输监督管理。依法组织或参与事故调查处理。指导航运、地方海事和船员管理有关事宜。</w:t>
      </w:r>
    </w:p>
    <w:p w14:paraId="16279DDA">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（五）负责提出全县交通运输行业固定资产投资规模和方向、县财政性资金安排意见，按县政府规定权限审批、核准县规划内和年度</w:t>
      </w:r>
      <w:r>
        <w:fldChar w:fldCharType="begin"/>
      </w:r>
      <w:r>
        <w:instrText xml:space="preserve"> HYPERLINK "http://www.bdfqy.com/shiyongwendang/gongzuojihua/" \t "_blank" </w:instrText>
      </w:r>
      <w:r>
        <w:fldChar w:fldCharType="separate"/>
      </w:r>
      <w:r>
        <w:rPr>
          <w:rFonts w:hint="eastAsia" w:ascii="Arial" w:hAnsi="Arial" w:eastAsia="仿宋" w:cs="Arial"/>
          <w:color w:val="000000"/>
          <w:kern w:val="0"/>
          <w:sz w:val="32"/>
        </w:rPr>
        <w:t>计划</w:t>
      </w:r>
      <w:r>
        <w:rPr>
          <w:rFonts w:hint="eastAsia" w:ascii="Arial" w:hAnsi="Arial" w:eastAsia="仿宋" w:cs="Arial"/>
          <w:color w:val="000000"/>
          <w:kern w:val="0"/>
          <w:sz w:val="32"/>
        </w:rPr>
        <w:fldChar w:fldCharType="end"/>
      </w:r>
      <w:r>
        <w:rPr>
          <w:rFonts w:hint="eastAsia" w:ascii="Arial" w:hAnsi="Arial" w:eastAsia="仿宋" w:cs="Arial"/>
          <w:color w:val="333333"/>
          <w:kern w:val="0"/>
          <w:sz w:val="32"/>
          <w:szCs w:val="21"/>
        </w:rPr>
        <w:t>规模内的固定资产投资项目。负责交通国有资产管理和交通专项资金的管理使用。负责行业内部审计。</w:t>
      </w:r>
    </w:p>
    <w:p w14:paraId="08E6BB1C">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六）承担全县公路、水路建设市场监管责任。拟订公路、水路建设相关政策、制度和技术标准并监督实施。组织公路及其设施的建设、养护和管理。负责公路、水路等有关重点工程建设、工程质量和安全生产的监管。负责全县交通基本建设项目招投标活动的监督管理。</w:t>
      </w:r>
    </w:p>
    <w:p w14:paraId="4610C1D8">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（七）指导全县公路、水路安全生产和应急管理。</w:t>
      </w:r>
    </w:p>
    <w:p w14:paraId="69C0C372">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（八）指导全县交通运输信息化建设，监测分析运行情况，开展相关统计、发布有关信息。指导公路、水路行业环境保护和节能减排。</w:t>
      </w:r>
    </w:p>
    <w:p w14:paraId="38012488">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（九）按照省交通运输行业科技技术标准和规范，组织科技开发，推动行业技术进步。组织开展交通运输行业继续教育和中等专业技术教育。指导交通运输行业精神文明建设。</w:t>
      </w:r>
    </w:p>
    <w:p w14:paraId="546EE329">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（十）由县交通运输局牵头，会同县发展和改革委员会等有关部门建立综合运输体系协调配合机制。县交通运输局会同有关部门组织编写综合运输体系规划，负责涉及综合运输体系规划有关重大问题的协调。</w:t>
      </w:r>
    </w:p>
    <w:p w14:paraId="1BFA7BB1">
      <w:pPr>
        <w:widowControl/>
        <w:spacing w:line="384" w:lineRule="auto"/>
        <w:ind w:firstLine="640" w:firstLineChars="200"/>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（十一）县交通运输局指导城乡客运及有关设施规划和管理。要加强协调配合，确保城市公共交通整体规划的有效衔接。</w:t>
      </w:r>
    </w:p>
    <w:p w14:paraId="3B5EC6AD">
      <w:pPr>
        <w:pStyle w:val="2"/>
        <w:spacing w:before="0" w:after="0" w:line="600" w:lineRule="exact"/>
        <w:jc w:val="left"/>
        <w:rPr>
          <w:rFonts w:ascii="Arial" w:hAnsi="Arial" w:eastAsia="仿宋" w:cs="Arial"/>
          <w:color w:val="333333"/>
          <w:kern w:val="0"/>
          <w:sz w:val="32"/>
          <w:szCs w:val="21"/>
        </w:rPr>
      </w:pPr>
      <w:r>
        <w:rPr>
          <w:rFonts w:hint="eastAsia" w:ascii="Arial" w:hAnsi="Arial" w:eastAsia="仿宋" w:cs="Arial"/>
          <w:color w:val="333333"/>
          <w:kern w:val="0"/>
          <w:sz w:val="32"/>
          <w:szCs w:val="21"/>
        </w:rPr>
        <w:t>（十二）承办</w:t>
      </w:r>
    </w:p>
    <w:p w14:paraId="75C18F54">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14:paraId="004A8648">
      <w:pPr>
        <w:spacing w:line="384" w:lineRule="auto"/>
        <w:ind w:firstLine="640" w:firstLineChars="200"/>
        <w:jc w:val="left"/>
        <w:rPr>
          <w:rFonts w:ascii="宋体"/>
          <w:b/>
          <w:sz w:val="32"/>
        </w:rPr>
      </w:pPr>
      <w:r>
        <w:rPr>
          <w:rFonts w:hint="eastAsia" w:eastAsia="仿宋"/>
          <w:sz w:val="32"/>
        </w:rPr>
        <w:t>高邑县交通运输局预算单位包括交通运输局</w:t>
      </w:r>
      <w:r>
        <w:rPr>
          <w:rFonts w:eastAsia="仿宋"/>
          <w:sz w:val="32"/>
        </w:rPr>
        <w:t>1</w:t>
      </w:r>
      <w:r>
        <w:rPr>
          <w:rFonts w:hint="eastAsia" w:eastAsia="仿宋"/>
          <w:sz w:val="32"/>
        </w:rPr>
        <w:t>个预算单位，包括交通运输局机关及下属四站：公路管理站、地方管理站、路政管理站、运输管理站</w:t>
      </w:r>
      <w:r>
        <w:rPr>
          <w:rFonts w:eastAsia="仿宋"/>
          <w:sz w:val="32"/>
        </w:rPr>
        <w:t>5</w:t>
      </w:r>
      <w:r>
        <w:rPr>
          <w:rFonts w:hint="eastAsia" w:eastAsia="仿宋"/>
          <w:sz w:val="32"/>
        </w:rPr>
        <w:t>个独立核算的事业单位，其中高邑县交通运输局</w:t>
      </w:r>
      <w:r>
        <w:rPr>
          <w:rFonts w:hint="eastAsia" w:ascii="仿宋" w:hAnsi="仿宋" w:eastAsia="仿宋"/>
          <w:sz w:val="32"/>
          <w:szCs w:val="32"/>
        </w:rPr>
        <w:t>高邑县交通运输局为正科级行政单位，经费保障形式为财政拨款。</w:t>
      </w:r>
    </w:p>
    <w:p w14:paraId="7772C6CC">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 5</w:t>
      </w:r>
      <w:r>
        <w:rPr>
          <w:rFonts w:hint="eastAsia" w:ascii="仿宋_GB2312" w:hAnsi="Cambria" w:eastAsia="仿宋_GB2312" w:cs="ArialUnicodeMS"/>
          <w:kern w:val="0"/>
          <w:sz w:val="32"/>
          <w:szCs w:val="32"/>
        </w:rPr>
        <w:t>个，具体情况如下：</w:t>
      </w:r>
    </w:p>
    <w:tbl>
      <w:tblPr>
        <w:tblStyle w:val="12"/>
        <w:tblpPr w:leftFromText="180" w:rightFromText="180" w:vertAnchor="text" w:horzAnchor="page" w:tblpXSpec="center" w:tblpY="10"/>
        <w:tblOverlap w:val="never"/>
        <w:tblW w:w="97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3197"/>
        <w:gridCol w:w="2580"/>
        <w:gridCol w:w="3208"/>
      </w:tblGrid>
      <w:tr w14:paraId="059CD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78" w:type="dxa"/>
            <w:vAlign w:val="center"/>
          </w:tcPr>
          <w:p w14:paraId="057BA634">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197" w:type="dxa"/>
            <w:vAlign w:val="center"/>
          </w:tcPr>
          <w:p w14:paraId="7DE4C18C">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580" w:type="dxa"/>
            <w:vAlign w:val="center"/>
          </w:tcPr>
          <w:p w14:paraId="01FEDA6C">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3208" w:type="dxa"/>
            <w:vAlign w:val="center"/>
          </w:tcPr>
          <w:p w14:paraId="44906EF5">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14:paraId="5D8D1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78" w:type="dxa"/>
          </w:tcPr>
          <w:p w14:paraId="2CDAE998">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197" w:type="dxa"/>
            <w:vAlign w:val="center"/>
          </w:tcPr>
          <w:p w14:paraId="0925B3B7">
            <w:pPr>
              <w:jc w:val="center"/>
              <w:rPr>
                <w:rFonts w:ascii="仿宋_GB2312" w:hAnsi="Cambria" w:eastAsia="仿宋_GB2312" w:cs="ArialUnicodeMS"/>
                <w:kern w:val="0"/>
                <w:sz w:val="28"/>
                <w:szCs w:val="28"/>
              </w:rPr>
            </w:pPr>
            <w:r>
              <w:rPr>
                <w:rFonts w:hint="eastAsia" w:ascii="仿宋" w:hAnsi="仿宋" w:eastAsia="仿宋"/>
                <w:sz w:val="28"/>
                <w:szCs w:val="28"/>
              </w:rPr>
              <w:t>高邑县交通运输局机关</w:t>
            </w:r>
          </w:p>
        </w:tc>
        <w:tc>
          <w:tcPr>
            <w:tcW w:w="2580" w:type="dxa"/>
            <w:vAlign w:val="center"/>
          </w:tcPr>
          <w:p w14:paraId="7FEB0198">
            <w:pPr>
              <w:jc w:val="center"/>
              <w:rPr>
                <w:rFonts w:ascii="仿宋_GB2312" w:hAnsi="Cambria" w:eastAsia="仿宋" w:cs="ArialUnicodeMS"/>
                <w:kern w:val="0"/>
                <w:sz w:val="28"/>
                <w:szCs w:val="28"/>
              </w:rPr>
            </w:pPr>
            <w:r>
              <w:rPr>
                <w:rFonts w:hint="eastAsia" w:ascii="仿宋" w:hAnsi="仿宋" w:eastAsia="仿宋"/>
                <w:sz w:val="28"/>
                <w:szCs w:val="28"/>
              </w:rPr>
              <w:t>行政单位</w:t>
            </w:r>
          </w:p>
        </w:tc>
        <w:tc>
          <w:tcPr>
            <w:tcW w:w="3208" w:type="dxa"/>
            <w:vAlign w:val="center"/>
          </w:tcPr>
          <w:p w14:paraId="269CB4E1">
            <w:pPr>
              <w:jc w:val="center"/>
              <w:rPr>
                <w:rFonts w:ascii="仿宋_GB2312" w:hAnsi="Cambria" w:eastAsia="仿宋_GB2312" w:cs="ArialUnicodeMS"/>
                <w:kern w:val="0"/>
                <w:sz w:val="28"/>
                <w:szCs w:val="28"/>
              </w:rPr>
            </w:pPr>
            <w:r>
              <w:rPr>
                <w:rFonts w:hint="eastAsia" w:ascii="仿宋" w:hAnsi="仿宋" w:eastAsia="仿宋"/>
                <w:sz w:val="28"/>
                <w:szCs w:val="28"/>
              </w:rPr>
              <w:t>财政拨款</w:t>
            </w:r>
          </w:p>
        </w:tc>
      </w:tr>
      <w:tr w14:paraId="2B17C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78" w:type="dxa"/>
          </w:tcPr>
          <w:p w14:paraId="6D0886DF">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2</w:t>
            </w:r>
          </w:p>
        </w:tc>
        <w:tc>
          <w:tcPr>
            <w:tcW w:w="3197" w:type="dxa"/>
            <w:vAlign w:val="center"/>
          </w:tcPr>
          <w:p w14:paraId="6DCCE1DE">
            <w:pPr>
              <w:jc w:val="center"/>
              <w:rPr>
                <w:rFonts w:ascii="仿宋_GB2312" w:hAnsi="Cambria" w:eastAsia="仿宋_GB2312" w:cs="ArialUnicodeMS"/>
                <w:kern w:val="0"/>
                <w:sz w:val="28"/>
                <w:szCs w:val="28"/>
              </w:rPr>
            </w:pPr>
            <w:r>
              <w:rPr>
                <w:rFonts w:hint="eastAsia" w:ascii="仿宋" w:hAnsi="仿宋" w:eastAsia="仿宋"/>
                <w:sz w:val="28"/>
                <w:szCs w:val="28"/>
              </w:rPr>
              <w:t>高邑县公路管理站</w:t>
            </w:r>
          </w:p>
        </w:tc>
        <w:tc>
          <w:tcPr>
            <w:tcW w:w="2580" w:type="dxa"/>
            <w:vAlign w:val="center"/>
          </w:tcPr>
          <w:p w14:paraId="768D5675">
            <w:pPr>
              <w:jc w:val="center"/>
              <w:rPr>
                <w:rFonts w:ascii="仿宋_GB2312" w:hAnsi="Cambria" w:eastAsia="仿宋" w:cs="ArialUnicodeMS"/>
                <w:kern w:val="0"/>
                <w:sz w:val="28"/>
                <w:szCs w:val="28"/>
              </w:rPr>
            </w:pPr>
            <w:r>
              <w:rPr>
                <w:rFonts w:hint="eastAsia" w:ascii="仿宋" w:hAnsi="仿宋" w:eastAsia="仿宋"/>
                <w:sz w:val="28"/>
                <w:szCs w:val="28"/>
              </w:rPr>
              <w:t>事业单位</w:t>
            </w:r>
          </w:p>
        </w:tc>
        <w:tc>
          <w:tcPr>
            <w:tcW w:w="3208" w:type="dxa"/>
            <w:vAlign w:val="center"/>
          </w:tcPr>
          <w:p w14:paraId="4D60973E">
            <w:pPr>
              <w:jc w:val="center"/>
              <w:rPr>
                <w:rFonts w:ascii="仿宋_GB2312" w:hAnsi="Cambria" w:eastAsia="仿宋_GB2312" w:cs="ArialUnicodeMS"/>
                <w:kern w:val="0"/>
                <w:sz w:val="28"/>
                <w:szCs w:val="28"/>
              </w:rPr>
            </w:pPr>
            <w:r>
              <w:rPr>
                <w:rFonts w:hint="eastAsia" w:ascii="仿宋" w:hAnsi="仿宋" w:eastAsia="仿宋"/>
                <w:sz w:val="28"/>
                <w:szCs w:val="28"/>
              </w:rPr>
              <w:t>财政拨款</w:t>
            </w:r>
          </w:p>
        </w:tc>
      </w:tr>
      <w:tr w14:paraId="673E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78" w:type="dxa"/>
          </w:tcPr>
          <w:p w14:paraId="7802B071">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3</w:t>
            </w:r>
          </w:p>
        </w:tc>
        <w:tc>
          <w:tcPr>
            <w:tcW w:w="3197" w:type="dxa"/>
            <w:vAlign w:val="center"/>
          </w:tcPr>
          <w:p w14:paraId="22045085">
            <w:pPr>
              <w:jc w:val="center"/>
              <w:rPr>
                <w:rFonts w:ascii="仿宋_GB2312" w:hAnsi="Cambria" w:eastAsia="仿宋_GB2312" w:cs="ArialUnicodeMS"/>
                <w:kern w:val="0"/>
                <w:sz w:val="28"/>
                <w:szCs w:val="28"/>
              </w:rPr>
            </w:pPr>
            <w:r>
              <w:rPr>
                <w:rFonts w:hint="eastAsia" w:ascii="仿宋" w:hAnsi="仿宋" w:eastAsia="仿宋"/>
                <w:sz w:val="28"/>
                <w:szCs w:val="28"/>
              </w:rPr>
              <w:t>高邑县地方道路管理站</w:t>
            </w:r>
          </w:p>
        </w:tc>
        <w:tc>
          <w:tcPr>
            <w:tcW w:w="2580" w:type="dxa"/>
            <w:vAlign w:val="center"/>
          </w:tcPr>
          <w:p w14:paraId="1409F40E">
            <w:pPr>
              <w:jc w:val="center"/>
              <w:rPr>
                <w:rFonts w:ascii="仿宋_GB2312" w:hAnsi="Cambria" w:eastAsia="仿宋_GB2312" w:cs="ArialUnicodeMS"/>
                <w:kern w:val="0"/>
                <w:sz w:val="28"/>
                <w:szCs w:val="28"/>
              </w:rPr>
            </w:pPr>
            <w:r>
              <w:rPr>
                <w:rFonts w:hint="eastAsia" w:ascii="仿宋" w:hAnsi="仿宋" w:eastAsia="仿宋"/>
                <w:sz w:val="28"/>
                <w:szCs w:val="28"/>
              </w:rPr>
              <w:t>事业单位</w:t>
            </w:r>
          </w:p>
        </w:tc>
        <w:tc>
          <w:tcPr>
            <w:tcW w:w="3208" w:type="dxa"/>
            <w:vAlign w:val="center"/>
          </w:tcPr>
          <w:p w14:paraId="1FB7E27B">
            <w:pPr>
              <w:jc w:val="center"/>
              <w:rPr>
                <w:rFonts w:ascii="仿宋_GB2312" w:hAnsi="Cambria" w:eastAsia="仿宋_GB2312" w:cs="ArialUnicodeMS"/>
                <w:kern w:val="0"/>
                <w:sz w:val="28"/>
                <w:szCs w:val="28"/>
              </w:rPr>
            </w:pPr>
            <w:r>
              <w:rPr>
                <w:rFonts w:hint="eastAsia" w:ascii="仿宋" w:hAnsi="仿宋" w:eastAsia="仿宋"/>
                <w:sz w:val="28"/>
                <w:szCs w:val="28"/>
              </w:rPr>
              <w:t>财政拨款</w:t>
            </w:r>
          </w:p>
        </w:tc>
      </w:tr>
      <w:tr w14:paraId="65F3B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78" w:type="dxa"/>
          </w:tcPr>
          <w:p w14:paraId="091C3F21">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4</w:t>
            </w:r>
          </w:p>
        </w:tc>
        <w:tc>
          <w:tcPr>
            <w:tcW w:w="3197" w:type="dxa"/>
            <w:vAlign w:val="center"/>
          </w:tcPr>
          <w:p w14:paraId="7FBE4615">
            <w:pPr>
              <w:jc w:val="center"/>
              <w:rPr>
                <w:rFonts w:ascii="仿宋_GB2312" w:hAnsi="Cambria" w:eastAsia="仿宋_GB2312" w:cs="ArialUnicodeMS"/>
                <w:kern w:val="0"/>
                <w:sz w:val="28"/>
                <w:szCs w:val="28"/>
              </w:rPr>
            </w:pPr>
            <w:r>
              <w:rPr>
                <w:rFonts w:hint="eastAsia" w:ascii="仿宋" w:hAnsi="仿宋" w:eastAsia="仿宋"/>
                <w:sz w:val="28"/>
                <w:szCs w:val="28"/>
              </w:rPr>
              <w:t>高邑县公路路政管理站</w:t>
            </w:r>
          </w:p>
        </w:tc>
        <w:tc>
          <w:tcPr>
            <w:tcW w:w="2580" w:type="dxa"/>
            <w:vAlign w:val="center"/>
          </w:tcPr>
          <w:p w14:paraId="457C119A">
            <w:pPr>
              <w:jc w:val="center"/>
              <w:rPr>
                <w:rFonts w:ascii="仿宋_GB2312" w:hAnsi="Cambria" w:eastAsia="仿宋_GB2312" w:cs="ArialUnicodeMS"/>
                <w:kern w:val="0"/>
                <w:sz w:val="28"/>
                <w:szCs w:val="28"/>
              </w:rPr>
            </w:pPr>
            <w:r>
              <w:rPr>
                <w:rFonts w:hint="eastAsia" w:ascii="仿宋" w:hAnsi="仿宋" w:eastAsia="仿宋"/>
                <w:sz w:val="28"/>
                <w:szCs w:val="28"/>
              </w:rPr>
              <w:t>事业单位</w:t>
            </w:r>
          </w:p>
        </w:tc>
        <w:tc>
          <w:tcPr>
            <w:tcW w:w="3208" w:type="dxa"/>
            <w:vAlign w:val="center"/>
          </w:tcPr>
          <w:p w14:paraId="6104DC94">
            <w:pPr>
              <w:jc w:val="center"/>
              <w:rPr>
                <w:rFonts w:ascii="仿宋_GB2312" w:hAnsi="Cambria" w:eastAsia="仿宋_GB2312" w:cs="ArialUnicodeMS"/>
                <w:kern w:val="0"/>
                <w:sz w:val="28"/>
                <w:szCs w:val="28"/>
              </w:rPr>
            </w:pPr>
            <w:r>
              <w:rPr>
                <w:rFonts w:hint="eastAsia" w:ascii="仿宋" w:hAnsi="仿宋" w:eastAsia="仿宋"/>
                <w:sz w:val="28"/>
                <w:szCs w:val="28"/>
              </w:rPr>
              <w:t>财政拨款</w:t>
            </w:r>
          </w:p>
        </w:tc>
      </w:tr>
      <w:tr w14:paraId="2D53A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78" w:type="dxa"/>
          </w:tcPr>
          <w:p w14:paraId="4337FCC8">
            <w:pPr>
              <w:spacing w:after="0" w:line="560" w:lineRule="exact"/>
              <w:rPr>
                <w:rFonts w:ascii="仿宋_GB2312" w:hAnsi="Cambria" w:eastAsia="仿宋_GB2312" w:cs="ArialUnicodeMS"/>
                <w:kern w:val="0"/>
                <w:sz w:val="28"/>
                <w:szCs w:val="28"/>
              </w:rPr>
            </w:pPr>
            <w:r>
              <w:rPr>
                <w:rFonts w:ascii="仿宋_GB2312" w:hAnsi="Cambria" w:eastAsia="仿宋_GB2312" w:cs="ArialUnicodeMS"/>
                <w:kern w:val="0"/>
                <w:sz w:val="28"/>
                <w:szCs w:val="28"/>
              </w:rPr>
              <w:t xml:space="preserve">  5</w:t>
            </w:r>
          </w:p>
        </w:tc>
        <w:tc>
          <w:tcPr>
            <w:tcW w:w="3197" w:type="dxa"/>
            <w:vAlign w:val="center"/>
          </w:tcPr>
          <w:p w14:paraId="184271D2">
            <w:pPr>
              <w:jc w:val="center"/>
              <w:rPr>
                <w:rFonts w:ascii="仿宋_GB2312" w:hAnsi="Cambria" w:eastAsia="仿宋_GB2312" w:cs="ArialUnicodeMS"/>
                <w:kern w:val="0"/>
                <w:sz w:val="28"/>
                <w:szCs w:val="28"/>
              </w:rPr>
            </w:pPr>
            <w:r>
              <w:rPr>
                <w:rFonts w:hint="eastAsia" w:ascii="仿宋" w:hAnsi="仿宋" w:eastAsia="仿宋"/>
                <w:sz w:val="28"/>
                <w:szCs w:val="28"/>
              </w:rPr>
              <w:t>高邑县道路运输管理站</w:t>
            </w:r>
          </w:p>
        </w:tc>
        <w:tc>
          <w:tcPr>
            <w:tcW w:w="2580" w:type="dxa"/>
            <w:vAlign w:val="center"/>
          </w:tcPr>
          <w:p w14:paraId="5A4017B6">
            <w:pPr>
              <w:jc w:val="center"/>
              <w:rPr>
                <w:rFonts w:ascii="仿宋_GB2312" w:hAnsi="Cambria" w:eastAsia="仿宋_GB2312" w:cs="ArialUnicodeMS"/>
                <w:kern w:val="0"/>
                <w:sz w:val="28"/>
                <w:szCs w:val="28"/>
              </w:rPr>
            </w:pPr>
            <w:r>
              <w:rPr>
                <w:rFonts w:hint="eastAsia" w:ascii="仿宋" w:hAnsi="仿宋" w:eastAsia="仿宋"/>
                <w:sz w:val="28"/>
                <w:szCs w:val="28"/>
              </w:rPr>
              <w:t>事业单位</w:t>
            </w:r>
          </w:p>
        </w:tc>
        <w:tc>
          <w:tcPr>
            <w:tcW w:w="3208" w:type="dxa"/>
            <w:vAlign w:val="center"/>
          </w:tcPr>
          <w:p w14:paraId="54AC73B1">
            <w:pPr>
              <w:jc w:val="center"/>
              <w:rPr>
                <w:rFonts w:ascii="仿宋_GB2312" w:hAnsi="Cambria" w:eastAsia="仿宋_GB2312" w:cs="ArialUnicodeMS"/>
                <w:kern w:val="0"/>
                <w:sz w:val="28"/>
                <w:szCs w:val="28"/>
              </w:rPr>
            </w:pPr>
            <w:r>
              <w:rPr>
                <w:rFonts w:hint="eastAsia" w:ascii="仿宋" w:hAnsi="仿宋" w:eastAsia="仿宋"/>
                <w:sz w:val="28"/>
                <w:szCs w:val="28"/>
              </w:rPr>
              <w:t>财政拨款</w:t>
            </w:r>
          </w:p>
        </w:tc>
      </w:tr>
      <w:tr w14:paraId="4410F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763" w:type="dxa"/>
            <w:gridSpan w:val="4"/>
            <w:tcBorders>
              <w:left w:val="nil"/>
              <w:bottom w:val="nil"/>
              <w:right w:val="nil"/>
            </w:tcBorders>
          </w:tcPr>
          <w:p w14:paraId="3C6EA847">
            <w:pPr>
              <w:spacing w:after="0" w:line="560" w:lineRule="exact"/>
              <w:ind w:firstLine="560" w:firstLineChars="200"/>
              <w:jc w:val="left"/>
              <w:rPr>
                <w:rFonts w:ascii="仿宋_GB2312" w:hAnsi="Cambria" w:eastAsia="仿宋_GB2312" w:cs="ArialUnicodeMS"/>
                <w:kern w:val="0"/>
                <w:sz w:val="28"/>
                <w:szCs w:val="28"/>
              </w:rPr>
            </w:pPr>
          </w:p>
        </w:tc>
      </w:tr>
    </w:tbl>
    <w:p w14:paraId="25E0E0A3">
      <w:pPr>
        <w:spacing w:after="0" w:line="560" w:lineRule="exact"/>
        <w:rPr>
          <w:rFonts w:ascii="仿宋_GB2312" w:hAnsi="Cambria" w:eastAsia="仿宋_GB2312" w:cs="ArialUnicodeMS"/>
          <w:kern w:val="0"/>
          <w:sz w:val="32"/>
          <w:szCs w:val="32"/>
        </w:rPr>
      </w:pPr>
    </w:p>
    <w:p w14:paraId="7ADF49D5">
      <w:pPr>
        <w:widowControl/>
        <w:spacing w:line="560" w:lineRule="exact"/>
        <w:jc w:val="center"/>
        <w:rPr>
          <w:rFonts w:ascii="黑体" w:hAnsi="Cambria" w:eastAsia="黑体" w:cs="MS-UIGothic,Bold"/>
          <w:bCs/>
          <w:kern w:val="0"/>
          <w:sz w:val="52"/>
          <w:szCs w:val="52"/>
        </w:rPr>
      </w:pPr>
    </w:p>
    <w:p w14:paraId="474F443B">
      <w:pPr>
        <w:widowControl/>
        <w:spacing w:line="560" w:lineRule="exact"/>
        <w:jc w:val="center"/>
        <w:rPr>
          <w:rFonts w:ascii="黑体" w:hAnsi="Cambria" w:eastAsia="黑体" w:cs="MS-UIGothic,Bold"/>
          <w:bCs/>
          <w:kern w:val="0"/>
          <w:sz w:val="52"/>
          <w:szCs w:val="52"/>
        </w:rPr>
      </w:pPr>
    </w:p>
    <w:p w14:paraId="1FBF03B8">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14:paraId="02AD1484">
      <w:pPr>
        <w:widowControl/>
        <w:spacing w:line="560" w:lineRule="exact"/>
        <w:jc w:val="center"/>
        <w:rPr>
          <w:rFonts w:ascii="黑体" w:hAnsi="Cambria" w:eastAsia="黑体" w:cs="MS-UIGothic,Bold"/>
          <w:bCs/>
          <w:kern w:val="0"/>
          <w:sz w:val="52"/>
          <w:szCs w:val="52"/>
        </w:rPr>
      </w:pPr>
    </w:p>
    <w:p w14:paraId="3F00BAB6">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79.85pt;margin-top:-104.5pt;height:840.95pt;width:596.15pt;z-index:-251655168;mso-width-relative:page;mso-height-relative:page;" filled="f" o:preferrelative="t" stroked="f" coordsize="21600,21600">
            <v:path/>
            <v:fill on="f" focussize="0,0"/>
            <v:stroke on="f" joinstyle="miter"/>
            <v:imagedata r:id="rId7" o:title=""/>
            <o:lock v:ext="edit" aspectratio="t"/>
          </v:shape>
        </w:pict>
      </w:r>
    </w:p>
    <w:p w14:paraId="35C67D1F">
      <w:pPr>
        <w:widowControl/>
        <w:spacing w:line="560" w:lineRule="exact"/>
        <w:jc w:val="center"/>
        <w:rPr>
          <w:rFonts w:ascii="黑体" w:hAnsi="Cambria" w:eastAsia="黑体" w:cs="MS-UIGothic,Bold"/>
          <w:bCs/>
          <w:kern w:val="0"/>
          <w:sz w:val="52"/>
          <w:szCs w:val="52"/>
        </w:rPr>
      </w:pPr>
    </w:p>
    <w:p w14:paraId="53BD857D">
      <w:pPr>
        <w:rPr>
          <w:rFonts w:ascii="宋体" w:cs="ArialUnicodeMS"/>
          <w:color w:val="000000"/>
          <w:kern w:val="0"/>
        </w:rPr>
      </w:pPr>
    </w:p>
    <w:p w14:paraId="4E38B703">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6848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53E03061">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1B85E60C">
                  <w:pPr>
                    <w:widowControl/>
                    <w:spacing w:line="1200" w:lineRule="exact"/>
                    <w:jc w:val="center"/>
                    <w:rPr>
                      <w:rFonts w:ascii="黑体" w:hAnsi="宋体" w:eastAsia="黑体"/>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p w14:paraId="684A0893">
                  <w:pPr>
                    <w:widowControl/>
                    <w:spacing w:line="1200" w:lineRule="exact"/>
                    <w:jc w:val="center"/>
                    <w:rPr>
                      <w:rFonts w:ascii="黑体" w:hAnsi="宋体" w:eastAsia="黑体"/>
                      <w:color w:val="FDEFBE"/>
                      <w:sz w:val="96"/>
                      <w:szCs w:val="96"/>
                    </w:rPr>
                  </w:pPr>
                </w:p>
                <w:p w14:paraId="02FF7691">
                  <w:pPr>
                    <w:widowControl/>
                    <w:spacing w:line="1200" w:lineRule="exact"/>
                    <w:jc w:val="center"/>
                    <w:rPr>
                      <w:rFonts w:ascii="黑体" w:hAnsi="宋体" w:eastAsia="黑体"/>
                      <w:color w:val="FDEFBE"/>
                      <w:sz w:val="96"/>
                      <w:szCs w:val="96"/>
                    </w:rPr>
                  </w:pPr>
                </w:p>
                <w:p w14:paraId="3E339503">
                  <w:pPr>
                    <w:widowControl/>
                    <w:spacing w:line="1200" w:lineRule="exact"/>
                    <w:jc w:val="center"/>
                    <w:rPr>
                      <w:rFonts w:ascii="黑体" w:hAnsi="宋体" w:eastAsia="黑体"/>
                      <w:color w:val="FDEFBE"/>
                      <w:sz w:val="96"/>
                      <w:szCs w:val="96"/>
                    </w:rPr>
                  </w:pPr>
                </w:p>
                <w:p w14:paraId="7F4465D2">
                  <w:pPr>
                    <w:widowControl/>
                    <w:spacing w:line="1200" w:lineRule="exact"/>
                    <w:jc w:val="center"/>
                    <w:rPr>
                      <w:rFonts w:ascii="黑体" w:hAnsi="宋体" w:eastAsia="黑体"/>
                      <w:color w:val="FDEFBE"/>
                      <w:sz w:val="96"/>
                      <w:szCs w:val="96"/>
                    </w:rPr>
                  </w:pPr>
                </w:p>
              </w:txbxContent>
            </v:textbox>
          </v:shape>
        </w:pict>
      </w:r>
    </w:p>
    <w:p w14:paraId="67FA2281">
      <w:pPr>
        <w:widowControl/>
        <w:spacing w:line="580" w:lineRule="exact"/>
        <w:ind w:left="640" w:firstLine="640" w:firstLineChars="200"/>
        <w:rPr>
          <w:rFonts w:eastAsia="仿宋_GB2312"/>
          <w:sz w:val="32"/>
          <w:szCs w:val="32"/>
        </w:rPr>
      </w:pPr>
      <w:r>
        <w:rPr>
          <w:rFonts w:hint="eastAsia" w:eastAsia="仿宋_GB2312"/>
          <w:sz w:val="32"/>
          <w:szCs w:val="32"/>
        </w:rPr>
        <w:t>本部门</w:t>
      </w:r>
      <w:r>
        <w:rPr>
          <w:rFonts w:eastAsia="仿宋_GB2312"/>
          <w:sz w:val="32"/>
          <w:szCs w:val="32"/>
        </w:rPr>
        <w:t>2018</w:t>
      </w:r>
      <w:r>
        <w:rPr>
          <w:rFonts w:hint="eastAsia" w:eastAsia="仿宋_GB2312"/>
          <w:sz w:val="32"/>
          <w:szCs w:val="32"/>
        </w:rPr>
        <w:t>年应公开</w:t>
      </w:r>
      <w:r>
        <w:rPr>
          <w:rFonts w:eastAsia="仿宋_GB2312"/>
          <w:sz w:val="32"/>
          <w:szCs w:val="32"/>
        </w:rPr>
        <w:t>10</w:t>
      </w:r>
      <w:r>
        <w:rPr>
          <w:rFonts w:hint="eastAsia" w:eastAsia="仿宋_GB2312"/>
          <w:sz w:val="32"/>
          <w:szCs w:val="32"/>
        </w:rPr>
        <w:t>张决算表格</w:t>
      </w:r>
    </w:p>
    <w:p w14:paraId="7C92482D">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一、收入支出决算总表（公开</w:t>
      </w:r>
      <w:r>
        <w:rPr>
          <w:rFonts w:eastAsia="仿宋_GB2312"/>
          <w:sz w:val="32"/>
          <w:szCs w:val="32"/>
        </w:rPr>
        <w:t>01</w:t>
      </w:r>
      <w:r>
        <w:rPr>
          <w:rFonts w:hint="eastAsia" w:eastAsia="仿宋_GB2312"/>
          <w:sz w:val="32"/>
          <w:szCs w:val="32"/>
        </w:rPr>
        <w:t>表）</w:t>
      </w:r>
    </w:p>
    <w:p w14:paraId="299DF649">
      <w:pPr>
        <w:widowControl/>
        <w:spacing w:line="580" w:lineRule="exact"/>
        <w:ind w:left="640" w:firstLine="640" w:firstLineChars="200"/>
        <w:rPr>
          <w:rFonts w:eastAsia="仿宋_GB2312"/>
          <w:sz w:val="32"/>
          <w:szCs w:val="32"/>
        </w:rPr>
      </w:pPr>
      <w:r>
        <w:rPr>
          <w:rFonts w:hint="eastAsia" w:eastAsia="仿宋_GB2312"/>
          <w:sz w:val="32"/>
          <w:szCs w:val="32"/>
        </w:rPr>
        <w:t>二、收入决算表（公开</w:t>
      </w:r>
      <w:r>
        <w:rPr>
          <w:rFonts w:eastAsia="仿宋_GB2312"/>
          <w:sz w:val="32"/>
          <w:szCs w:val="32"/>
        </w:rPr>
        <w:t>02</w:t>
      </w:r>
      <w:r>
        <w:rPr>
          <w:rFonts w:hint="eastAsia" w:eastAsia="仿宋_GB2312"/>
          <w:sz w:val="32"/>
          <w:szCs w:val="32"/>
        </w:rPr>
        <w:t>表）</w:t>
      </w:r>
    </w:p>
    <w:p w14:paraId="6D147F84">
      <w:pPr>
        <w:widowControl/>
        <w:spacing w:line="580" w:lineRule="exact"/>
        <w:ind w:left="640" w:firstLine="640" w:firstLineChars="200"/>
        <w:rPr>
          <w:rFonts w:eastAsia="仿宋_GB2312"/>
          <w:sz w:val="32"/>
          <w:szCs w:val="32"/>
        </w:rPr>
      </w:pPr>
      <w:r>
        <w:rPr>
          <w:rFonts w:hint="eastAsia" w:eastAsia="仿宋_GB2312"/>
          <w:sz w:val="32"/>
          <w:szCs w:val="32"/>
        </w:rPr>
        <w:t>三、支出决算表（公开</w:t>
      </w:r>
      <w:r>
        <w:rPr>
          <w:rFonts w:eastAsia="仿宋_GB2312"/>
          <w:sz w:val="32"/>
          <w:szCs w:val="32"/>
        </w:rPr>
        <w:t>03</w:t>
      </w:r>
      <w:r>
        <w:rPr>
          <w:rFonts w:hint="eastAsia" w:eastAsia="仿宋_GB2312"/>
          <w:sz w:val="32"/>
          <w:szCs w:val="32"/>
        </w:rPr>
        <w:t>表）</w:t>
      </w:r>
    </w:p>
    <w:p w14:paraId="699ED2FB">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四、财政拨款收入支出决算总表（公开</w:t>
      </w:r>
      <w:r>
        <w:rPr>
          <w:rFonts w:eastAsia="仿宋_GB2312"/>
          <w:sz w:val="32"/>
          <w:szCs w:val="32"/>
        </w:rPr>
        <w:t>04</w:t>
      </w:r>
      <w:r>
        <w:rPr>
          <w:rFonts w:hint="eastAsia" w:eastAsia="仿宋_GB2312"/>
          <w:sz w:val="32"/>
          <w:szCs w:val="32"/>
        </w:rPr>
        <w:t>表）</w:t>
      </w:r>
    </w:p>
    <w:p w14:paraId="12DE5EDD">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五、一般公共预算财政拨款支出决算表（公开</w:t>
      </w:r>
      <w:r>
        <w:rPr>
          <w:rFonts w:eastAsia="仿宋_GB2312"/>
          <w:sz w:val="32"/>
          <w:szCs w:val="32"/>
        </w:rPr>
        <w:t>05</w:t>
      </w:r>
      <w:r>
        <w:rPr>
          <w:rFonts w:hint="eastAsia" w:eastAsia="仿宋_GB2312"/>
          <w:sz w:val="32"/>
          <w:szCs w:val="32"/>
        </w:rPr>
        <w:t>表）</w:t>
      </w:r>
    </w:p>
    <w:p w14:paraId="717DFDBD">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六、一般公共预算财政拨款基本支出决算表（公开</w:t>
      </w:r>
      <w:r>
        <w:rPr>
          <w:rFonts w:eastAsia="仿宋_GB2312"/>
          <w:sz w:val="32"/>
          <w:szCs w:val="32"/>
        </w:rPr>
        <w:t>06</w:t>
      </w:r>
      <w:r>
        <w:rPr>
          <w:rFonts w:hint="eastAsia" w:eastAsia="仿宋_GB2312"/>
          <w:sz w:val="32"/>
          <w:szCs w:val="32"/>
        </w:rPr>
        <w:t>表）</w:t>
      </w:r>
    </w:p>
    <w:p w14:paraId="227DFB78">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经费支出决算表（公开</w:t>
      </w:r>
      <w:r>
        <w:rPr>
          <w:rFonts w:eastAsia="仿宋_GB2312"/>
          <w:sz w:val="32"/>
          <w:szCs w:val="32"/>
        </w:rPr>
        <w:t>07</w:t>
      </w:r>
      <w:r>
        <w:rPr>
          <w:rFonts w:hint="eastAsia" w:eastAsia="仿宋_GB2312"/>
          <w:sz w:val="32"/>
          <w:szCs w:val="32"/>
        </w:rPr>
        <w:t>表）</w:t>
      </w:r>
    </w:p>
    <w:p w14:paraId="02BCC159">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八、政府性基金预算财政拨款收入支出决算表（公开</w:t>
      </w:r>
      <w:r>
        <w:rPr>
          <w:rFonts w:eastAsia="仿宋_GB2312"/>
          <w:sz w:val="32"/>
          <w:szCs w:val="32"/>
        </w:rPr>
        <w:t>08</w:t>
      </w:r>
      <w:r>
        <w:rPr>
          <w:rFonts w:hint="eastAsia" w:eastAsia="仿宋_GB2312"/>
          <w:sz w:val="32"/>
          <w:szCs w:val="32"/>
        </w:rPr>
        <w:t>表）</w:t>
      </w:r>
    </w:p>
    <w:p w14:paraId="0D7EB41E">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九、国有资本经营预算财政拨款支出决算表（公开</w:t>
      </w:r>
      <w:r>
        <w:rPr>
          <w:rFonts w:eastAsia="仿宋_GB2312"/>
          <w:sz w:val="32"/>
          <w:szCs w:val="32"/>
        </w:rPr>
        <w:t>09</w:t>
      </w:r>
      <w:r>
        <w:rPr>
          <w:rFonts w:hint="eastAsia" w:eastAsia="仿宋_GB2312"/>
          <w:sz w:val="32"/>
          <w:szCs w:val="32"/>
        </w:rPr>
        <w:t>表）</w:t>
      </w:r>
    </w:p>
    <w:p w14:paraId="0CC4A74F">
      <w:pPr>
        <w:widowControl/>
        <w:spacing w:line="580" w:lineRule="exact"/>
        <w:ind w:left="640" w:firstLine="640" w:firstLineChars="200"/>
        <w:rPr>
          <w:rFonts w:eastAsia="仿宋_GB2312"/>
          <w:sz w:val="32"/>
          <w:szCs w:val="32"/>
        </w:rPr>
      </w:pPr>
      <w:r>
        <w:rPr>
          <w:rFonts w:hint="eastAsia" w:eastAsia="仿宋_GB2312"/>
          <w:sz w:val="32"/>
          <w:szCs w:val="32"/>
        </w:rPr>
        <w:t>十、政府采购情况表（公开</w:t>
      </w:r>
      <w:r>
        <w:rPr>
          <w:rFonts w:eastAsia="仿宋_GB2312"/>
          <w:sz w:val="32"/>
          <w:szCs w:val="32"/>
        </w:rPr>
        <w:t>10</w:t>
      </w:r>
      <w:r>
        <w:rPr>
          <w:rFonts w:hint="eastAsia" w:eastAsia="仿宋_GB2312"/>
          <w:sz w:val="32"/>
          <w:szCs w:val="32"/>
        </w:rPr>
        <w:t>表）</w:t>
      </w:r>
    </w:p>
    <w:p w14:paraId="7656F9DB">
      <w:pPr>
        <w:widowControl/>
        <w:spacing w:line="580" w:lineRule="exact"/>
        <w:ind w:left="640" w:firstLine="640" w:firstLineChars="200"/>
        <w:rPr>
          <w:rFonts w:eastAsia="仿宋_GB2312"/>
          <w:sz w:val="32"/>
          <w:szCs w:val="32"/>
        </w:rPr>
      </w:pPr>
      <w:r>
        <w:rPr>
          <w:rFonts w:hint="eastAsia" w:eastAsia="仿宋_GB2312"/>
          <w:sz w:val="32"/>
          <w:szCs w:val="32"/>
        </w:rPr>
        <w:t>详见附表：《高邑县交通运输局</w:t>
      </w:r>
      <w:r>
        <w:rPr>
          <w:rFonts w:eastAsia="仿宋_GB2312"/>
          <w:sz w:val="32"/>
          <w:szCs w:val="32"/>
        </w:rPr>
        <w:t>2018</w:t>
      </w:r>
      <w:r>
        <w:rPr>
          <w:rFonts w:hint="eastAsia" w:eastAsia="仿宋_GB2312"/>
          <w:sz w:val="32"/>
          <w:szCs w:val="32"/>
        </w:rPr>
        <w:t>年部门决算公开表》</w:t>
      </w:r>
    </w:p>
    <w:p w14:paraId="0145DC88">
      <w:pPr>
        <w:widowControl/>
        <w:spacing w:line="580" w:lineRule="exact"/>
        <w:ind w:left="640" w:firstLine="640" w:firstLineChars="200"/>
        <w:rPr>
          <w:rFonts w:eastAsia="仿宋_GB2312"/>
          <w:sz w:val="32"/>
          <w:szCs w:val="32"/>
        </w:rPr>
      </w:pPr>
    </w:p>
    <w:p w14:paraId="52C2FFAC">
      <w:pPr>
        <w:widowControl/>
        <w:spacing w:line="580" w:lineRule="exact"/>
        <w:ind w:left="640" w:firstLine="640" w:firstLineChars="200"/>
        <w:rPr>
          <w:rFonts w:eastAsia="仿宋_GB2312"/>
          <w:sz w:val="32"/>
          <w:szCs w:val="32"/>
        </w:rPr>
      </w:pPr>
    </w:p>
    <w:p w14:paraId="06574B0C">
      <w:pPr>
        <w:widowControl/>
        <w:spacing w:line="580" w:lineRule="exact"/>
        <w:ind w:left="640" w:firstLine="640" w:firstLineChars="200"/>
        <w:rPr>
          <w:rFonts w:eastAsia="仿宋_GB2312"/>
          <w:sz w:val="32"/>
          <w:szCs w:val="32"/>
        </w:rPr>
      </w:pPr>
    </w:p>
    <w:p w14:paraId="4B866CC1">
      <w:pPr>
        <w:widowControl/>
        <w:spacing w:line="580" w:lineRule="exact"/>
        <w:ind w:left="640" w:firstLine="640" w:firstLineChars="200"/>
        <w:rPr>
          <w:rFonts w:eastAsia="仿宋_GB2312"/>
          <w:sz w:val="32"/>
          <w:szCs w:val="32"/>
        </w:rPr>
      </w:pPr>
    </w:p>
    <w:p w14:paraId="16CD4898">
      <w:pPr>
        <w:widowControl/>
        <w:spacing w:line="580" w:lineRule="exact"/>
        <w:ind w:left="640" w:firstLine="640" w:firstLineChars="200"/>
        <w:rPr>
          <w:rFonts w:eastAsia="仿宋_GB2312"/>
          <w:sz w:val="32"/>
          <w:szCs w:val="32"/>
        </w:rPr>
      </w:pPr>
    </w:p>
    <w:p w14:paraId="0153FCAC">
      <w:pPr>
        <w:rPr>
          <w:rFonts w:ascii="宋体" w:cs="ArialUnicodeMS"/>
          <w:color w:val="000000"/>
          <w:kern w:val="0"/>
        </w:rPr>
      </w:pPr>
    </w:p>
    <w:p w14:paraId="11B7398F">
      <w:pPr>
        <w:rPr>
          <w:rFonts w:ascii="宋体" w:cs="ArialUnicodeMS"/>
          <w:color w:val="000000"/>
          <w:kern w:val="0"/>
        </w:rPr>
      </w:pPr>
    </w:p>
    <w:p w14:paraId="0F03823F">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81.7pt;margin-top:-109.85pt;height:840.95pt;width:594.5pt;z-index:-251654144;mso-width-relative:page;mso-height-relative:page;" filled="f" o:preferrelative="t" stroked="f" coordsize="21600,21600">
            <v:path/>
            <v:fill on="f" focussize="0,0"/>
            <v:stroke on="f" joinstyle="miter"/>
            <v:imagedata r:id="rId7" o:title=""/>
            <o:lock v:ext="edit" aspectratio="t"/>
          </v:shape>
        </w:pict>
      </w:r>
      <w:r>
        <w:pict>
          <v:shape id="_x0000_s1042" o:spid="_x0000_s1042" o:spt="202" type="#_x0000_t202" style="position:absolute;left:0pt;margin-left:-78.7pt;margin-top:232.8pt;height:159.1pt;width:596.2pt;z-index:2516695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51C05874">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354C7F18">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14:paraId="5ED89D47">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一、收入</w:t>
      </w:r>
      <w:r>
        <w:rPr>
          <w:rFonts w:hint="eastAsia" w:ascii="仿宋" w:hAnsi="仿宋" w:eastAsia="仿宋" w:cs="仿宋"/>
          <w:b w:val="0"/>
          <w:bCs w:val="0"/>
          <w:kern w:val="0"/>
        </w:rPr>
        <w:t>支</w:t>
      </w:r>
      <w:r>
        <w:pict>
          <v:group id="_x0000_s1043" o:spid="_x0000_s1043" o:spt="203" style="position:absolute;left:0pt;margin-left:-0.55pt;margin-top:29.3pt;height:43.95pt;width:301.85pt;mso-position-horizontal-relative:page;mso-position-vertical-relative:page;z-index:25168793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44"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5"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53DAE0A8">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A1DA57D">
                    <w:pPr>
                      <w:jc w:val="center"/>
                    </w:pPr>
                  </w:p>
                </w:txbxContent>
              </v:textbox>
            </v:rect>
            <w10:anchorlock/>
          </v:group>
        </w:pict>
      </w:r>
      <w:r>
        <w:rPr>
          <w:rFonts w:hint="eastAsia" w:ascii="仿宋" w:hAnsi="仿宋" w:eastAsia="仿宋" w:cs="仿宋"/>
          <w:b w:val="0"/>
          <w:bCs w:val="0"/>
          <w:kern w:val="0"/>
        </w:rPr>
        <w:t>出</w:t>
      </w:r>
      <w:r>
        <w:rPr>
          <w:rFonts w:hint="eastAsia" w:ascii="仿宋" w:hAnsi="仿宋" w:eastAsia="仿宋" w:cs="仿宋"/>
          <w:b w:val="0"/>
          <w:bCs w:val="0"/>
        </w:rPr>
        <w:t>决算总体情况说明</w:t>
      </w:r>
    </w:p>
    <w:p w14:paraId="13ED3889">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年度收支总计（含结转和结余）</w:t>
      </w:r>
      <w:r>
        <w:rPr>
          <w:rFonts w:ascii="仿宋" w:hAnsi="仿宋" w:eastAsia="仿宋" w:cs="仿宋"/>
          <w:sz w:val="32"/>
          <w:szCs w:val="32"/>
        </w:rPr>
        <w:t>5733.05</w:t>
      </w:r>
      <w:r>
        <w:rPr>
          <w:rFonts w:hint="eastAsia" w:ascii="仿宋" w:hAnsi="仿宋" w:eastAsia="仿宋" w:cs="仿宋"/>
          <w:sz w:val="32"/>
          <w:szCs w:val="32"/>
        </w:rPr>
        <w:t>万元。与</w:t>
      </w:r>
      <w:r>
        <w:rPr>
          <w:rFonts w:ascii="仿宋" w:hAnsi="仿宋" w:eastAsia="仿宋" w:cs="仿宋"/>
          <w:sz w:val="32"/>
          <w:szCs w:val="32"/>
        </w:rPr>
        <w:t>2017</w:t>
      </w:r>
      <w:r>
        <w:rPr>
          <w:rFonts w:hint="eastAsia" w:ascii="仿宋" w:hAnsi="仿宋" w:eastAsia="仿宋" w:cs="仿宋"/>
          <w:sz w:val="32"/>
          <w:szCs w:val="32"/>
        </w:rPr>
        <w:t>年度决算相比，收支各减少</w:t>
      </w:r>
      <w:r>
        <w:rPr>
          <w:rFonts w:ascii="仿宋" w:hAnsi="仿宋" w:eastAsia="仿宋" w:cs="仿宋"/>
          <w:sz w:val="32"/>
          <w:szCs w:val="32"/>
        </w:rPr>
        <w:t>5118.26</w:t>
      </w:r>
      <w:r>
        <w:rPr>
          <w:rFonts w:hint="eastAsia" w:ascii="仿宋" w:hAnsi="仿宋" w:eastAsia="仿宋" w:cs="仿宋"/>
          <w:sz w:val="32"/>
          <w:szCs w:val="32"/>
        </w:rPr>
        <w:t>万元，下降</w:t>
      </w:r>
      <w:r>
        <w:rPr>
          <w:rFonts w:ascii="仿宋" w:hAnsi="仿宋" w:eastAsia="仿宋" w:cs="仿宋"/>
          <w:sz w:val="32"/>
          <w:szCs w:val="32"/>
        </w:rPr>
        <w:t>47.17%</w:t>
      </w:r>
      <w:r>
        <w:rPr>
          <w:rFonts w:hint="eastAsia" w:ascii="仿宋" w:hAnsi="仿宋" w:eastAsia="仿宋" w:cs="仿宋"/>
          <w:sz w:val="32"/>
          <w:szCs w:val="32"/>
        </w:rPr>
        <w:t>，主要原因是</w:t>
      </w:r>
      <w:r>
        <w:rPr>
          <w:rFonts w:ascii="仿宋" w:hAnsi="仿宋" w:eastAsia="仿宋" w:cs="仿宋"/>
          <w:sz w:val="32"/>
          <w:szCs w:val="32"/>
        </w:rPr>
        <w:t>2018</w:t>
      </w:r>
      <w:r>
        <w:rPr>
          <w:rFonts w:hint="eastAsia" w:ascii="仿宋" w:hAnsi="仿宋" w:eastAsia="仿宋" w:cs="仿宋"/>
          <w:sz w:val="32"/>
          <w:szCs w:val="32"/>
        </w:rPr>
        <w:t>年工程项目较</w:t>
      </w:r>
      <w:r>
        <w:rPr>
          <w:rFonts w:ascii="仿宋" w:hAnsi="仿宋" w:eastAsia="仿宋" w:cs="仿宋"/>
          <w:sz w:val="32"/>
          <w:szCs w:val="32"/>
        </w:rPr>
        <w:t>2017</w:t>
      </w:r>
      <w:r>
        <w:rPr>
          <w:rFonts w:hint="eastAsia" w:ascii="仿宋" w:hAnsi="仿宋" w:eastAsia="仿宋" w:cs="仿宋"/>
          <w:sz w:val="32"/>
          <w:szCs w:val="32"/>
        </w:rPr>
        <w:t>年有所减少。</w:t>
      </w:r>
    </w:p>
    <w:p w14:paraId="00015CD1">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二、收入决算情况说明</w:t>
      </w:r>
    </w:p>
    <w:p w14:paraId="69095891">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年度本年收入合计</w:t>
      </w:r>
      <w:r>
        <w:rPr>
          <w:rFonts w:ascii="仿宋" w:hAnsi="仿宋" w:eastAsia="仿宋" w:cs="仿宋"/>
          <w:sz w:val="32"/>
          <w:szCs w:val="32"/>
        </w:rPr>
        <w:t>4662.04</w:t>
      </w:r>
      <w:r>
        <w:rPr>
          <w:rFonts w:hint="eastAsia" w:ascii="仿宋" w:hAnsi="仿宋" w:eastAsia="仿宋" w:cs="仿宋"/>
          <w:sz w:val="32"/>
          <w:szCs w:val="32"/>
        </w:rPr>
        <w:t>万元，其中：财政拨款收入</w:t>
      </w:r>
      <w:r>
        <w:rPr>
          <w:rFonts w:ascii="仿宋" w:hAnsi="仿宋" w:eastAsia="仿宋" w:cs="仿宋"/>
          <w:sz w:val="32"/>
          <w:szCs w:val="32"/>
        </w:rPr>
        <w:t>4605.44</w:t>
      </w:r>
      <w:r>
        <w:rPr>
          <w:rFonts w:hint="eastAsia" w:ascii="仿宋" w:hAnsi="仿宋" w:eastAsia="仿宋" w:cs="仿宋"/>
          <w:sz w:val="32"/>
          <w:szCs w:val="32"/>
        </w:rPr>
        <w:t>万元，占</w:t>
      </w:r>
      <w:r>
        <w:rPr>
          <w:rFonts w:ascii="仿宋" w:hAnsi="仿宋" w:eastAsia="仿宋" w:cs="仿宋"/>
          <w:sz w:val="32"/>
          <w:szCs w:val="32"/>
        </w:rPr>
        <w:t>98.79%</w:t>
      </w:r>
      <w:r>
        <w:rPr>
          <w:rFonts w:hint="eastAsia" w:ascii="仿宋" w:hAnsi="仿宋" w:eastAsia="仿宋" w:cs="仿宋"/>
          <w:sz w:val="32"/>
          <w:szCs w:val="32"/>
        </w:rPr>
        <w:t>；其他收入</w:t>
      </w:r>
      <w:r>
        <w:rPr>
          <w:rFonts w:ascii="仿宋" w:hAnsi="仿宋" w:eastAsia="仿宋" w:cs="仿宋"/>
          <w:sz w:val="32"/>
          <w:szCs w:val="32"/>
        </w:rPr>
        <w:t>56.59</w:t>
      </w:r>
      <w:r>
        <w:rPr>
          <w:rFonts w:hint="eastAsia" w:ascii="仿宋" w:hAnsi="仿宋" w:eastAsia="仿宋" w:cs="仿宋"/>
          <w:sz w:val="32"/>
          <w:szCs w:val="32"/>
        </w:rPr>
        <w:t>万元，占</w:t>
      </w:r>
      <w:r>
        <w:rPr>
          <w:rFonts w:ascii="仿宋" w:hAnsi="仿宋" w:eastAsia="仿宋" w:cs="仿宋"/>
          <w:sz w:val="32"/>
          <w:szCs w:val="32"/>
        </w:rPr>
        <w:t>1.21%</w:t>
      </w:r>
      <w:r>
        <w:rPr>
          <w:rFonts w:hint="eastAsia" w:ascii="仿宋" w:hAnsi="仿宋" w:eastAsia="仿宋" w:cs="仿宋"/>
          <w:sz w:val="32"/>
          <w:szCs w:val="32"/>
        </w:rPr>
        <w:t>。如图所示：</w:t>
      </w:r>
    </w:p>
    <w:p w14:paraId="482CD4F4">
      <w:pPr>
        <w:adjustRightInd w:val="0"/>
        <w:snapToGrid w:val="0"/>
        <w:spacing w:after="0" w:line="580" w:lineRule="exact"/>
        <w:ind w:firstLine="1260" w:firstLineChars="600"/>
        <w:rPr>
          <w:rFonts w:ascii="仿宋" w:hAnsi="仿宋" w:eastAsia="仿宋" w:cs="仿宋"/>
          <w:sz w:val="32"/>
          <w:szCs w:val="32"/>
        </w:rPr>
      </w:pPr>
      <w:r>
        <w:pict>
          <v:shape id="_x0000_s1046" o:spid="_x0000_s1046" o:spt="75" type="#_x0000_t75" style="position:absolute;left:0pt;margin-left:85.4pt;margin-top:11.05pt;height:215.05pt;width:276.95pt;mso-wrap-distance-bottom:0pt;mso-wrap-distance-left:9pt;mso-wrap-distance-right:9pt;mso-wrap-distance-top:0pt;z-index:251676672;mso-width-relative:page;mso-height-relative:page;" o:ole="t" filled="f" o:preferrelative="t" stroked="f" coordsize="21600,21600">
            <v:path/>
            <v:fill on="f" focussize="0,0"/>
            <v:stroke on="f" joinstyle="miter"/>
            <v:imagedata r:id="rId9" o:title=""/>
            <o:lock v:ext="edit" aspectratio="t"/>
            <w10:wrap type="square"/>
          </v:shape>
          <o:OLEObject Type="Embed" ProgID="Excel.Chart.8" ShapeID="_x0000_s1046" DrawAspect="Content" ObjectID="_1468075725" r:id="rId8">
            <o:LockedField>false</o:LockedField>
          </o:OLEObject>
        </w:pict>
      </w:r>
    </w:p>
    <w:p w14:paraId="73EB9CC7">
      <w:pPr>
        <w:adjustRightInd w:val="0"/>
        <w:snapToGrid w:val="0"/>
        <w:spacing w:after="0" w:line="580" w:lineRule="exact"/>
        <w:ind w:firstLine="1920" w:firstLineChars="600"/>
        <w:rPr>
          <w:rFonts w:ascii="仿宋" w:hAnsi="仿宋" w:eastAsia="仿宋" w:cs="仿宋"/>
          <w:sz w:val="32"/>
          <w:szCs w:val="32"/>
        </w:rPr>
      </w:pPr>
    </w:p>
    <w:p w14:paraId="0D180CE3">
      <w:pPr>
        <w:adjustRightInd w:val="0"/>
        <w:snapToGrid w:val="0"/>
        <w:spacing w:after="0" w:line="580" w:lineRule="exact"/>
        <w:ind w:firstLine="1920" w:firstLineChars="600"/>
        <w:rPr>
          <w:rFonts w:ascii="仿宋" w:hAnsi="仿宋" w:eastAsia="仿宋" w:cs="仿宋"/>
          <w:sz w:val="32"/>
          <w:szCs w:val="32"/>
        </w:rPr>
      </w:pPr>
    </w:p>
    <w:p w14:paraId="2D81E812">
      <w:pPr>
        <w:adjustRightInd w:val="0"/>
        <w:snapToGrid w:val="0"/>
        <w:spacing w:after="0" w:line="580" w:lineRule="exact"/>
        <w:ind w:firstLine="1920" w:firstLineChars="600"/>
        <w:rPr>
          <w:rFonts w:ascii="仿宋" w:hAnsi="仿宋" w:eastAsia="仿宋" w:cs="仿宋"/>
          <w:sz w:val="32"/>
          <w:szCs w:val="32"/>
        </w:rPr>
      </w:pPr>
    </w:p>
    <w:p w14:paraId="66106990">
      <w:pPr>
        <w:adjustRightInd w:val="0"/>
        <w:snapToGrid w:val="0"/>
        <w:spacing w:after="0" w:line="580" w:lineRule="exact"/>
        <w:ind w:firstLine="1920" w:firstLineChars="600"/>
        <w:rPr>
          <w:rFonts w:ascii="仿宋" w:hAnsi="仿宋" w:eastAsia="仿宋" w:cs="仿宋"/>
          <w:sz w:val="32"/>
          <w:szCs w:val="32"/>
        </w:rPr>
      </w:pPr>
    </w:p>
    <w:p w14:paraId="57582F58">
      <w:pPr>
        <w:pStyle w:val="3"/>
        <w:spacing w:before="0" w:after="0" w:line="580" w:lineRule="exact"/>
        <w:ind w:firstLine="643" w:firstLineChars="200"/>
        <w:rPr>
          <w:rFonts w:ascii="仿宋" w:hAnsi="仿宋" w:eastAsia="仿宋" w:cs="仿宋"/>
        </w:rPr>
      </w:pPr>
    </w:p>
    <w:p w14:paraId="6306F225">
      <w:pPr>
        <w:pStyle w:val="3"/>
        <w:spacing w:before="0" w:after="0" w:line="580" w:lineRule="exact"/>
        <w:ind w:firstLine="643" w:firstLineChars="200"/>
        <w:rPr>
          <w:rFonts w:ascii="仿宋" w:hAnsi="仿宋" w:eastAsia="仿宋" w:cs="仿宋"/>
        </w:rPr>
      </w:pPr>
    </w:p>
    <w:p w14:paraId="6ADCF8C3">
      <w:pPr>
        <w:pStyle w:val="3"/>
        <w:spacing w:before="0" w:after="0" w:line="580" w:lineRule="exact"/>
        <w:ind w:firstLine="643" w:firstLineChars="200"/>
        <w:rPr>
          <w:rFonts w:ascii="仿宋" w:hAnsi="仿宋" w:eastAsia="仿宋" w:cs="仿宋"/>
        </w:rPr>
      </w:pPr>
    </w:p>
    <w:p w14:paraId="4A3EC26F">
      <w:pPr>
        <w:pStyle w:val="3"/>
        <w:spacing w:before="0" w:after="0" w:line="580" w:lineRule="exact"/>
        <w:ind w:firstLine="643" w:firstLineChars="200"/>
        <w:rPr>
          <w:rFonts w:ascii="仿宋" w:hAnsi="仿宋" w:eastAsia="仿宋" w:cs="仿宋"/>
          <w:b w:val="0"/>
          <w:bCs w:val="0"/>
        </w:rPr>
      </w:pPr>
      <w:r>
        <w:pict>
          <v:shape id="文本框 30" o:spid="_x0000_s1047" o:spt="202" type="#_x0000_t202" style="position:absolute;left:0pt;margin-left:107.9pt;margin-top:0.35pt;height:42.2pt;width:248.75pt;z-index:-251632640;mso-width-relative:page;mso-height-relative:page;" stroked="f" coordsize="21600,21600" o:gfxdata="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oRcE90wAAAAcBAAAPAAAAAAAAAAEAIAAAACIAAABk&#10;cnMvZG93bnJldi54bWxQSwECFAAUAAAACACHTuJALTKYkkQCAABPBAAADgAAAAAAAAABACAAAAAi&#10;AQAAZHJzL2Uyb0RvYy54bWxQSwUGAAAAAAYABgBZAQAA2AUAAAAA&#10;">
            <v:path/>
            <v:fill focussize="0,0"/>
            <v:stroke on="f" weight="0.5pt" joinstyle="miter"/>
            <v:imagedata o:title=""/>
            <o:lock v:ext="edit"/>
            <v:textbox>
              <w:txbxContent>
                <w:p w14:paraId="083FB14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1</w:t>
                  </w:r>
                  <w:r>
                    <w:rPr>
                      <w:rFonts w:hint="eastAsia" w:ascii="仿宋_GB2312" w:eastAsia="仿宋_GB2312" w:cs="DengXian-Regular"/>
                      <w:sz w:val="28"/>
                      <w:szCs w:val="28"/>
                    </w:rPr>
                    <w:t>：收入构成情况</w:t>
                  </w:r>
                </w:p>
                <w:p w14:paraId="4DAEE8F3">
                  <w:pPr>
                    <w:rPr>
                      <w:sz w:val="20"/>
                      <w:szCs w:val="22"/>
                    </w:rPr>
                  </w:pPr>
                </w:p>
              </w:txbxContent>
            </v:textbox>
          </v:shape>
        </w:pict>
      </w:r>
    </w:p>
    <w:p w14:paraId="13BC0E7C">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三、支出决算情况说明</w:t>
      </w:r>
    </w:p>
    <w:p w14:paraId="7A876051">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年度本年支出合计</w:t>
      </w:r>
      <w:r>
        <w:rPr>
          <w:rFonts w:ascii="仿宋" w:hAnsi="仿宋" w:eastAsia="仿宋" w:cs="仿宋"/>
          <w:sz w:val="32"/>
          <w:szCs w:val="32"/>
        </w:rPr>
        <w:t>3844.90</w:t>
      </w:r>
      <w:r>
        <w:rPr>
          <w:rFonts w:hint="eastAsia" w:ascii="仿宋" w:hAnsi="仿宋" w:eastAsia="仿宋" w:cs="仿宋"/>
          <w:sz w:val="32"/>
          <w:szCs w:val="32"/>
        </w:rPr>
        <w:t>万元，其中：基本支出</w:t>
      </w:r>
      <w:r>
        <w:rPr>
          <w:rFonts w:ascii="仿宋" w:hAnsi="仿宋" w:eastAsia="仿宋" w:cs="仿宋"/>
          <w:sz w:val="32"/>
          <w:szCs w:val="32"/>
        </w:rPr>
        <w:t>1544.48</w:t>
      </w:r>
      <w:r>
        <w:rPr>
          <w:rFonts w:hint="eastAsia" w:ascii="仿宋" w:hAnsi="仿宋" w:eastAsia="仿宋" w:cs="仿宋"/>
          <w:sz w:val="32"/>
          <w:szCs w:val="32"/>
        </w:rPr>
        <w:t>万元，占</w:t>
      </w:r>
      <w:r>
        <w:rPr>
          <w:rFonts w:ascii="仿宋" w:hAnsi="仿宋" w:eastAsia="仿宋" w:cs="仿宋"/>
          <w:sz w:val="32"/>
          <w:szCs w:val="32"/>
        </w:rPr>
        <w:t>40.17%</w:t>
      </w:r>
      <w:r>
        <w:rPr>
          <w:rFonts w:hint="eastAsia" w:ascii="仿宋" w:hAnsi="仿宋" w:eastAsia="仿宋" w:cs="仿宋"/>
          <w:sz w:val="32"/>
          <w:szCs w:val="32"/>
        </w:rPr>
        <w:t>；项目支出</w:t>
      </w:r>
      <w:r>
        <w:rPr>
          <w:rFonts w:ascii="仿宋" w:hAnsi="仿宋" w:eastAsia="仿宋" w:cs="仿宋"/>
          <w:sz w:val="32"/>
          <w:szCs w:val="32"/>
        </w:rPr>
        <w:t>2300.42</w:t>
      </w:r>
      <w:r>
        <w:rPr>
          <w:rFonts w:hint="eastAsia" w:ascii="仿宋" w:hAnsi="仿宋" w:eastAsia="仿宋" w:cs="仿宋"/>
          <w:sz w:val="32"/>
          <w:szCs w:val="32"/>
        </w:rPr>
        <w:t>万元，占</w:t>
      </w:r>
      <w:r>
        <w:rPr>
          <w:rFonts w:ascii="仿宋" w:hAnsi="仿宋" w:eastAsia="仿宋" w:cs="仿宋"/>
          <w:sz w:val="32"/>
          <w:szCs w:val="32"/>
        </w:rPr>
        <w:t>59.83%</w:t>
      </w:r>
      <w:r>
        <w:rPr>
          <w:rFonts w:hint="eastAsia" w:ascii="仿宋" w:hAnsi="仿宋" w:eastAsia="仿宋" w:cs="仿宋"/>
          <w:sz w:val="32"/>
          <w:szCs w:val="32"/>
        </w:rPr>
        <w:t>。如图所示：</w:t>
      </w:r>
    </w:p>
    <w:p w14:paraId="59FE6738">
      <w:pPr>
        <w:adjustRightInd w:val="0"/>
        <w:snapToGrid w:val="0"/>
        <w:spacing w:after="0" w:line="580" w:lineRule="exact"/>
        <w:ind w:firstLine="1260" w:firstLineChars="600"/>
        <w:rPr>
          <w:rFonts w:ascii="仿宋" w:hAnsi="仿宋" w:eastAsia="仿宋" w:cs="仿宋"/>
          <w:sz w:val="32"/>
          <w:szCs w:val="32"/>
        </w:rPr>
      </w:pPr>
      <w:r>
        <w:pict>
          <v:shape id="_x0000_s1048" o:spid="_x0000_s1048" o:spt="75" type="#_x0000_t75" style="position:absolute;left:0pt;margin-left:92.15pt;margin-top:-27.95pt;height:226.1pt;width:264.95pt;mso-wrap-distance-bottom:0.1pt;mso-wrap-distance-left:9pt;mso-wrap-distance-right:9pt;mso-wrap-distance-top:0pt;z-index:251675648;mso-width-relative:page;mso-height-relative:page;" o:ole="t" filled="f" o:preferrelative="t" stroked="f" coordsize="21600,21600">
            <v:path/>
            <v:fill on="f" focussize="0,0"/>
            <v:stroke on="f" joinstyle="miter"/>
            <v:imagedata r:id="rId11" o:title=""/>
            <o:lock v:ext="edit" aspectratio="t"/>
            <w10:wrap type="square"/>
          </v:shape>
          <o:OLEObject Type="Embed" ProgID="Excel.Chart.8" ShapeID="_x0000_s1048" DrawAspect="Content" ObjectID="_1468075726" r:id="rId10">
            <o:LockedField>false</o:LockedField>
          </o:OLEObject>
        </w:pict>
      </w:r>
    </w:p>
    <w:p w14:paraId="5ACBE7C4">
      <w:pPr>
        <w:adjustRightInd w:val="0"/>
        <w:snapToGrid w:val="0"/>
        <w:spacing w:after="0" w:line="580" w:lineRule="exact"/>
        <w:ind w:firstLine="1260" w:firstLineChars="600"/>
        <w:rPr>
          <w:rFonts w:ascii="仿宋" w:hAnsi="仿宋" w:eastAsia="仿宋" w:cs="仿宋"/>
          <w:sz w:val="32"/>
          <w:szCs w:val="32"/>
        </w:rPr>
      </w:pPr>
      <w:r>
        <w:pict>
          <v:group id="_x0000_s1049" o:spid="_x0000_s1049"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50"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6F10340E">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631072AD">
                    <w:pPr>
                      <w:jc w:val="center"/>
                    </w:pPr>
                  </w:p>
                </w:txbxContent>
              </v:textbox>
            </v:rect>
            <w10:anchorlock/>
          </v:group>
        </w:pict>
      </w:r>
    </w:p>
    <w:p w14:paraId="49F2B229">
      <w:pPr>
        <w:adjustRightInd w:val="0"/>
        <w:snapToGrid w:val="0"/>
        <w:spacing w:after="0" w:line="580" w:lineRule="exact"/>
        <w:ind w:firstLine="1920" w:firstLineChars="600"/>
        <w:rPr>
          <w:rFonts w:ascii="仿宋" w:hAnsi="仿宋" w:eastAsia="仿宋" w:cs="仿宋"/>
          <w:sz w:val="32"/>
          <w:szCs w:val="32"/>
        </w:rPr>
      </w:pPr>
    </w:p>
    <w:p w14:paraId="155F8759">
      <w:pPr>
        <w:pStyle w:val="3"/>
        <w:spacing w:before="0" w:after="0" w:line="580" w:lineRule="exact"/>
        <w:ind w:firstLine="643" w:firstLineChars="200"/>
        <w:rPr>
          <w:rFonts w:ascii="仿宋" w:hAnsi="仿宋" w:eastAsia="仿宋" w:cs="仿宋"/>
        </w:rPr>
      </w:pPr>
    </w:p>
    <w:p w14:paraId="7E8EBDA6">
      <w:pPr>
        <w:pStyle w:val="3"/>
        <w:spacing w:before="0" w:after="0" w:line="580" w:lineRule="exact"/>
        <w:ind w:firstLine="643" w:firstLineChars="200"/>
        <w:rPr>
          <w:rFonts w:ascii="仿宋" w:hAnsi="仿宋" w:eastAsia="仿宋" w:cs="仿宋"/>
        </w:rPr>
      </w:pPr>
    </w:p>
    <w:p w14:paraId="24BD0FA8">
      <w:pPr>
        <w:pStyle w:val="3"/>
        <w:spacing w:before="0" w:after="0" w:line="580" w:lineRule="exact"/>
        <w:ind w:firstLine="643" w:firstLineChars="200"/>
        <w:rPr>
          <w:rFonts w:ascii="仿宋" w:hAnsi="仿宋" w:eastAsia="仿宋" w:cs="仿宋"/>
        </w:rPr>
      </w:pPr>
    </w:p>
    <w:p w14:paraId="19FE2BE5">
      <w:pPr>
        <w:pStyle w:val="3"/>
        <w:spacing w:before="0" w:after="0" w:line="580" w:lineRule="exact"/>
        <w:ind w:firstLine="640" w:firstLineChars="200"/>
        <w:rPr>
          <w:rFonts w:ascii="仿宋" w:hAnsi="仿宋" w:eastAsia="仿宋" w:cs="仿宋"/>
          <w:b w:val="0"/>
          <w:bCs w:val="0"/>
        </w:rPr>
      </w:pPr>
    </w:p>
    <w:p w14:paraId="2ACBD300">
      <w:pPr>
        <w:pStyle w:val="3"/>
        <w:spacing w:before="0" w:after="0" w:line="580" w:lineRule="exact"/>
        <w:ind w:firstLine="3200" w:firstLineChars="1000"/>
        <w:rPr>
          <w:rFonts w:ascii="仿宋" w:hAnsi="仿宋" w:eastAsia="仿宋" w:cs="仿宋"/>
          <w:b w:val="0"/>
          <w:bCs w:val="0"/>
        </w:rPr>
      </w:pPr>
      <w:r>
        <w:rPr>
          <w:rFonts w:hint="eastAsia" w:ascii="仿宋" w:hAnsi="仿宋" w:eastAsia="仿宋" w:cs="仿宋"/>
          <w:b w:val="0"/>
          <w:bCs w:val="0"/>
        </w:rPr>
        <w:t>图</w:t>
      </w:r>
      <w:r>
        <w:rPr>
          <w:rFonts w:ascii="仿宋" w:hAnsi="仿宋" w:eastAsia="仿宋" w:cs="仿宋"/>
          <w:b w:val="0"/>
          <w:bCs w:val="0"/>
        </w:rPr>
        <w:t>2</w:t>
      </w:r>
      <w:r>
        <w:rPr>
          <w:rFonts w:hint="eastAsia" w:ascii="仿宋" w:hAnsi="仿宋" w:eastAsia="仿宋" w:cs="仿宋"/>
          <w:b w:val="0"/>
          <w:bCs w:val="0"/>
        </w:rPr>
        <w:t>：支出构成情况</w:t>
      </w:r>
    </w:p>
    <w:p w14:paraId="110F0E32">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四、</w:t>
      </w:r>
      <w:r>
        <w:rPr>
          <w:rFonts w:hint="eastAsia" w:ascii="仿宋" w:hAnsi="仿宋" w:eastAsia="仿宋" w:cs="仿宋"/>
          <w:b w:val="0"/>
          <w:bCs w:val="0"/>
          <w:kern w:val="0"/>
        </w:rPr>
        <w:t>财政</w:t>
      </w:r>
      <w:r>
        <w:rPr>
          <w:rFonts w:hint="eastAsia" w:ascii="仿宋" w:hAnsi="仿宋" w:eastAsia="仿宋" w:cs="仿宋"/>
          <w:b w:val="0"/>
          <w:bCs w:val="0"/>
        </w:rPr>
        <w:t>拨款收入支出决算情况说明</w:t>
      </w:r>
    </w:p>
    <w:p w14:paraId="714D77AE">
      <w:pPr>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（一）财政拨款收支与</w:t>
      </w:r>
      <w:r>
        <w:rPr>
          <w:rFonts w:ascii="仿宋" w:hAnsi="仿宋" w:eastAsia="仿宋" w:cs="仿宋"/>
          <w:b/>
          <w:bCs/>
          <w:sz w:val="32"/>
          <w:szCs w:val="32"/>
        </w:rPr>
        <w:t xml:space="preserve">2017 </w:t>
      </w:r>
      <w:r>
        <w:rPr>
          <w:rFonts w:hint="eastAsia" w:ascii="仿宋" w:hAnsi="仿宋" w:eastAsia="仿宋" w:cs="仿宋"/>
          <w:b/>
          <w:bCs/>
          <w:sz w:val="32"/>
          <w:szCs w:val="32"/>
        </w:rPr>
        <w:t>年度决算对比情况</w:t>
      </w:r>
    </w:p>
    <w:p w14:paraId="0EE70A38">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年度财政拨款本年收入</w:t>
      </w:r>
      <w:r>
        <w:rPr>
          <w:rFonts w:ascii="仿宋" w:hAnsi="仿宋" w:eastAsia="仿宋" w:cs="仿宋"/>
          <w:sz w:val="32"/>
          <w:szCs w:val="32"/>
        </w:rPr>
        <w:t>4605.44</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比</w:t>
      </w:r>
      <w:r>
        <w:rPr>
          <w:rFonts w:ascii="仿宋" w:hAnsi="仿宋" w:eastAsia="仿宋" w:cs="仿宋"/>
          <w:sz w:val="32"/>
          <w:szCs w:val="32"/>
        </w:rPr>
        <w:t>2017</w:t>
      </w:r>
      <w:r>
        <w:rPr>
          <w:rFonts w:hint="eastAsia" w:ascii="仿宋" w:hAnsi="仿宋" w:eastAsia="仿宋" w:cs="仿宋"/>
          <w:sz w:val="32"/>
          <w:szCs w:val="32"/>
        </w:rPr>
        <w:t>年度减少</w:t>
      </w:r>
      <w:r>
        <w:rPr>
          <w:rFonts w:ascii="仿宋" w:hAnsi="仿宋" w:eastAsia="仿宋" w:cs="仿宋"/>
          <w:sz w:val="32"/>
          <w:szCs w:val="32"/>
        </w:rPr>
        <w:t>4807.26</w:t>
      </w:r>
      <w:r>
        <w:rPr>
          <w:rFonts w:hint="eastAsia" w:ascii="仿宋" w:hAnsi="仿宋" w:eastAsia="仿宋" w:cs="仿宋"/>
          <w:sz w:val="32"/>
          <w:szCs w:val="32"/>
        </w:rPr>
        <w:t>万元，降低</w:t>
      </w:r>
      <w:r>
        <w:rPr>
          <w:rFonts w:ascii="仿宋" w:hAnsi="仿宋" w:eastAsia="仿宋" w:cs="仿宋"/>
          <w:sz w:val="32"/>
          <w:szCs w:val="32"/>
        </w:rPr>
        <w:t>51.07%</w:t>
      </w:r>
      <w:r>
        <w:rPr>
          <w:rFonts w:hint="eastAsia" w:ascii="仿宋" w:hAnsi="仿宋" w:eastAsia="仿宋" w:cs="仿宋"/>
          <w:sz w:val="32"/>
          <w:szCs w:val="32"/>
        </w:rPr>
        <w:t>，主要是本年交通基础设施建设项目投入减少；本年支出</w:t>
      </w:r>
      <w:r>
        <w:rPr>
          <w:rFonts w:ascii="仿宋" w:hAnsi="仿宋" w:eastAsia="仿宋" w:cs="仿宋"/>
          <w:sz w:val="32"/>
          <w:szCs w:val="32"/>
        </w:rPr>
        <w:t>3789.73</w:t>
      </w:r>
      <w:r>
        <w:rPr>
          <w:rFonts w:hint="eastAsia" w:ascii="仿宋" w:hAnsi="仿宋" w:eastAsia="仿宋" w:cs="仿宋"/>
          <w:sz w:val="32"/>
          <w:szCs w:val="32"/>
        </w:rPr>
        <w:t>万元，比</w:t>
      </w:r>
      <w:r>
        <w:rPr>
          <w:rFonts w:ascii="仿宋" w:hAnsi="仿宋" w:eastAsia="仿宋" w:cs="仿宋"/>
          <w:sz w:val="32"/>
          <w:szCs w:val="32"/>
        </w:rPr>
        <w:t>2017</w:t>
      </w:r>
      <w:r>
        <w:rPr>
          <w:rFonts w:hint="eastAsia" w:ascii="仿宋" w:hAnsi="仿宋" w:eastAsia="仿宋" w:cs="仿宋"/>
          <w:sz w:val="32"/>
          <w:szCs w:val="32"/>
        </w:rPr>
        <w:t>年度减少</w:t>
      </w:r>
      <w:r>
        <w:rPr>
          <w:rFonts w:ascii="仿宋" w:hAnsi="仿宋" w:eastAsia="仿宋" w:cs="仿宋"/>
          <w:sz w:val="32"/>
          <w:szCs w:val="32"/>
        </w:rPr>
        <w:t>5939.9</w:t>
      </w:r>
      <w:r>
        <w:rPr>
          <w:rFonts w:hint="eastAsia" w:ascii="仿宋" w:hAnsi="仿宋" w:eastAsia="仿宋" w:cs="仿宋"/>
          <w:sz w:val="32"/>
          <w:szCs w:val="32"/>
        </w:rPr>
        <w:t>万元，降低</w:t>
      </w:r>
      <w:r>
        <w:rPr>
          <w:rFonts w:ascii="仿宋" w:hAnsi="仿宋" w:eastAsia="仿宋" w:cs="仿宋"/>
          <w:sz w:val="32"/>
          <w:szCs w:val="32"/>
        </w:rPr>
        <w:t>61.05%</w:t>
      </w:r>
      <w:r>
        <w:rPr>
          <w:rFonts w:hint="eastAsia" w:ascii="仿宋" w:hAnsi="仿宋" w:eastAsia="仿宋" w:cs="仿宋"/>
          <w:sz w:val="32"/>
          <w:szCs w:val="32"/>
        </w:rPr>
        <w:t>，主要是本年交通基础设施建设项目投入减少。</w:t>
      </w:r>
    </w:p>
    <w:p w14:paraId="3A2A5EE1">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其中：一般公共预算财政拨款本年收入</w:t>
      </w:r>
      <w:r>
        <w:rPr>
          <w:rFonts w:ascii="仿宋" w:hAnsi="仿宋" w:eastAsia="仿宋" w:cs="仿宋"/>
          <w:sz w:val="32"/>
          <w:szCs w:val="32"/>
        </w:rPr>
        <w:t>4078.47</w:t>
      </w:r>
      <w:r>
        <w:rPr>
          <w:rFonts w:hint="eastAsia" w:ascii="仿宋" w:hAnsi="仿宋" w:eastAsia="仿宋" w:cs="仿宋"/>
          <w:sz w:val="32"/>
          <w:szCs w:val="32"/>
        </w:rPr>
        <w:t>万元，比上年减少</w:t>
      </w:r>
      <w:r>
        <w:rPr>
          <w:rFonts w:ascii="仿宋" w:hAnsi="仿宋" w:eastAsia="仿宋" w:cs="仿宋"/>
          <w:sz w:val="32"/>
          <w:szCs w:val="32"/>
        </w:rPr>
        <w:t>2272.79</w:t>
      </w:r>
      <w:r>
        <w:rPr>
          <w:rFonts w:hint="eastAsia" w:ascii="仿宋" w:hAnsi="仿宋" w:eastAsia="仿宋" w:cs="仿宋"/>
          <w:sz w:val="32"/>
          <w:szCs w:val="32"/>
        </w:rPr>
        <w:t>万元；主要是交通基础设施建设项目投入减少；本年支出</w:t>
      </w:r>
      <w:r>
        <w:rPr>
          <w:rFonts w:ascii="仿宋" w:hAnsi="仿宋" w:eastAsia="仿宋" w:cs="仿宋"/>
          <w:sz w:val="32"/>
          <w:szCs w:val="32"/>
        </w:rPr>
        <w:t>3262.75</w:t>
      </w:r>
      <w:r>
        <w:rPr>
          <w:rFonts w:hint="eastAsia" w:ascii="仿宋" w:hAnsi="仿宋" w:eastAsia="仿宋" w:cs="仿宋"/>
          <w:sz w:val="32"/>
          <w:szCs w:val="32"/>
        </w:rPr>
        <w:t>万元，比上年减少</w:t>
      </w:r>
      <w:r>
        <w:rPr>
          <w:rFonts w:ascii="仿宋" w:hAnsi="仿宋" w:eastAsia="仿宋" w:cs="仿宋"/>
          <w:sz w:val="32"/>
          <w:szCs w:val="32"/>
        </w:rPr>
        <w:t>3404.88</w:t>
      </w:r>
      <w:r>
        <w:rPr>
          <w:rFonts w:hint="eastAsia" w:ascii="仿宋" w:hAnsi="仿宋" w:eastAsia="仿宋" w:cs="仿宋"/>
          <w:sz w:val="32"/>
          <w:szCs w:val="32"/>
        </w:rPr>
        <w:t>万元，降低</w:t>
      </w:r>
      <w:r>
        <w:rPr>
          <w:rFonts w:ascii="仿宋" w:hAnsi="仿宋" w:eastAsia="仿宋" w:cs="仿宋"/>
          <w:sz w:val="32"/>
          <w:szCs w:val="32"/>
        </w:rPr>
        <w:t>51.07%</w:t>
      </w:r>
      <w:r>
        <w:rPr>
          <w:rFonts w:hint="eastAsia" w:ascii="仿宋" w:hAnsi="仿宋" w:eastAsia="仿宋" w:cs="仿宋"/>
          <w:sz w:val="32"/>
          <w:szCs w:val="32"/>
        </w:rPr>
        <w:t>，主要是交通基础设施建设项目投入减少。政府性基金预算财政拨款本年收入</w:t>
      </w:r>
      <w:r>
        <w:rPr>
          <w:rFonts w:ascii="仿宋" w:hAnsi="仿宋" w:eastAsia="仿宋" w:cs="仿宋"/>
          <w:sz w:val="32"/>
          <w:szCs w:val="32"/>
        </w:rPr>
        <w:t>526.98</w:t>
      </w:r>
      <w:r>
        <w:rPr>
          <w:rFonts w:hint="eastAsia" w:ascii="仿宋" w:hAnsi="仿宋" w:eastAsia="仿宋" w:cs="仿宋"/>
          <w:sz w:val="32"/>
          <w:szCs w:val="32"/>
        </w:rPr>
        <w:t>万元，比上年减少</w:t>
      </w:r>
      <w:r>
        <w:rPr>
          <w:rFonts w:ascii="仿宋" w:hAnsi="仿宋" w:eastAsia="仿宋" w:cs="仿宋"/>
          <w:sz w:val="32"/>
          <w:szCs w:val="32"/>
        </w:rPr>
        <w:t>2535.02</w:t>
      </w:r>
      <w:r>
        <w:rPr>
          <w:rFonts w:hint="eastAsia" w:ascii="仿宋" w:hAnsi="仿宋" w:eastAsia="仿宋" w:cs="仿宋"/>
          <w:sz w:val="32"/>
          <w:szCs w:val="32"/>
        </w:rPr>
        <w:t>万元，降低</w:t>
      </w:r>
      <w:r>
        <w:rPr>
          <w:rFonts w:ascii="仿宋" w:hAnsi="仿宋" w:eastAsia="仿宋" w:cs="仿宋"/>
          <w:sz w:val="32"/>
          <w:szCs w:val="32"/>
        </w:rPr>
        <w:t>82.79%</w:t>
      </w:r>
      <w:r>
        <w:rPr>
          <w:rFonts w:hint="eastAsia" w:ascii="仿宋" w:hAnsi="仿宋" w:eastAsia="仿宋" w:cs="仿宋"/>
          <w:sz w:val="32"/>
          <w:szCs w:val="32"/>
        </w:rPr>
        <w:t>，主要原因是交通基础设施建设项目投入减少；本年支出</w:t>
      </w:r>
      <w:r>
        <w:rPr>
          <w:rFonts w:ascii="仿宋" w:hAnsi="仿宋" w:eastAsia="仿宋" w:cs="仿宋"/>
          <w:sz w:val="32"/>
          <w:szCs w:val="32"/>
        </w:rPr>
        <w:t>526.98</w:t>
      </w:r>
      <w:r>
        <w:rPr>
          <w:rFonts w:hint="eastAsia" w:ascii="仿宋" w:hAnsi="仿宋" w:eastAsia="仿宋" w:cs="仿宋"/>
          <w:sz w:val="32"/>
          <w:szCs w:val="32"/>
        </w:rPr>
        <w:t>万元，比上年减少</w:t>
      </w:r>
      <w:r>
        <w:rPr>
          <w:rFonts w:ascii="仿宋" w:hAnsi="仿宋" w:eastAsia="仿宋" w:cs="仿宋"/>
          <w:sz w:val="32"/>
          <w:szCs w:val="32"/>
        </w:rPr>
        <w:t>2535.02</w:t>
      </w:r>
      <w:r>
        <w:rPr>
          <w:rFonts w:hint="eastAsia" w:ascii="仿宋" w:hAnsi="仿宋" w:eastAsia="仿宋" w:cs="仿宋"/>
          <w:sz w:val="32"/>
          <w:szCs w:val="32"/>
        </w:rPr>
        <w:t>万元，降低</w:t>
      </w:r>
      <w:r>
        <w:rPr>
          <w:rFonts w:ascii="仿宋" w:hAnsi="仿宋" w:eastAsia="仿宋" w:cs="仿宋"/>
          <w:sz w:val="32"/>
          <w:szCs w:val="32"/>
        </w:rPr>
        <w:t>82.79%</w:t>
      </w:r>
      <w:r>
        <w:rPr>
          <w:rFonts w:hint="eastAsia" w:ascii="仿宋" w:hAnsi="仿宋" w:eastAsia="仿宋" w:cs="仿宋"/>
          <w:sz w:val="32"/>
          <w:szCs w:val="32"/>
        </w:rPr>
        <w:t>，主要是交通基础设施建设项目投入减少。</w:t>
      </w:r>
    </w:p>
    <w:p w14:paraId="28F5AD80">
      <w:pPr>
        <w:adjustRightInd w:val="0"/>
        <w:snapToGrid w:val="0"/>
        <w:spacing w:after="0" w:line="580" w:lineRule="exact"/>
        <w:ind w:firstLine="420" w:firstLineChars="200"/>
        <w:rPr>
          <w:rFonts w:ascii="仿宋" w:hAnsi="仿宋" w:eastAsia="仿宋" w:cs="仿宋"/>
          <w:sz w:val="32"/>
          <w:szCs w:val="32"/>
        </w:rPr>
      </w:pPr>
      <w:r>
        <w:pict>
          <v:shape id="图表 1" o:spid="_x0000_s1052" o:spt="75" type="#_x0000_t75" style="position:absolute;left:0pt;margin-left:34.65pt;margin-top:22.3pt;height:209.75pt;width:386.4pt;mso-wrap-distance-bottom:0pt;mso-wrap-distance-left:9pt;mso-wrap-distance-right:9pt;mso-wrap-distance-top:0pt;z-index:251665408;mso-width-relative:page;mso-height-relative:page;"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">
            <v:path/>
            <v:fill on="f" focussize="0,0"/>
            <v:stroke on="f" joinstyle="miter"/>
            <v:imagedata r:id="rId12" o:title=""/>
            <o:lock v:ext="edit" aspectratio="f"/>
            <w10:wrap type="square"/>
          </v:shape>
        </w:pict>
      </w:r>
    </w:p>
    <w:p w14:paraId="2718E3A2">
      <w:pPr>
        <w:adjustRightInd w:val="0"/>
        <w:snapToGrid w:val="0"/>
        <w:spacing w:after="0" w:line="580" w:lineRule="exact"/>
        <w:ind w:firstLine="640" w:firstLineChars="200"/>
        <w:rPr>
          <w:rFonts w:ascii="仿宋" w:hAnsi="仿宋" w:eastAsia="仿宋" w:cs="仿宋"/>
          <w:sz w:val="32"/>
          <w:szCs w:val="32"/>
        </w:rPr>
      </w:pPr>
    </w:p>
    <w:p w14:paraId="3C7A1043">
      <w:pPr>
        <w:adjustRightInd w:val="0"/>
        <w:snapToGrid w:val="0"/>
        <w:spacing w:after="0" w:line="580" w:lineRule="exact"/>
        <w:ind w:firstLine="640" w:firstLineChars="200"/>
        <w:rPr>
          <w:rFonts w:ascii="仿宋" w:hAnsi="仿宋" w:eastAsia="仿宋" w:cs="仿宋"/>
          <w:sz w:val="32"/>
          <w:szCs w:val="32"/>
        </w:rPr>
      </w:pPr>
    </w:p>
    <w:p w14:paraId="2100862C">
      <w:pPr>
        <w:adjustRightInd w:val="0"/>
        <w:snapToGrid w:val="0"/>
        <w:spacing w:after="0" w:line="580" w:lineRule="exact"/>
        <w:ind w:firstLine="640" w:firstLineChars="200"/>
        <w:rPr>
          <w:rFonts w:ascii="仿宋" w:hAnsi="仿宋" w:eastAsia="仿宋" w:cs="仿宋"/>
          <w:sz w:val="32"/>
          <w:szCs w:val="32"/>
        </w:rPr>
      </w:pPr>
    </w:p>
    <w:p w14:paraId="2D92F28B">
      <w:pPr>
        <w:adjustRightInd w:val="0"/>
        <w:snapToGrid w:val="0"/>
        <w:spacing w:after="0" w:line="580" w:lineRule="exact"/>
        <w:ind w:firstLine="640" w:firstLineChars="200"/>
        <w:rPr>
          <w:rFonts w:ascii="仿宋" w:hAnsi="仿宋" w:eastAsia="仿宋" w:cs="仿宋"/>
          <w:sz w:val="32"/>
          <w:szCs w:val="32"/>
        </w:rPr>
      </w:pPr>
    </w:p>
    <w:p w14:paraId="2DC11376">
      <w:pPr>
        <w:adjustRightInd w:val="0"/>
        <w:snapToGrid w:val="0"/>
        <w:spacing w:after="0" w:line="580" w:lineRule="exact"/>
        <w:ind w:firstLine="640" w:firstLineChars="200"/>
        <w:rPr>
          <w:rFonts w:ascii="仿宋" w:hAnsi="仿宋" w:eastAsia="仿宋" w:cs="仿宋"/>
          <w:sz w:val="32"/>
          <w:szCs w:val="32"/>
        </w:rPr>
      </w:pPr>
    </w:p>
    <w:p w14:paraId="27B85AB8">
      <w:pPr>
        <w:adjustRightInd w:val="0"/>
        <w:snapToGrid w:val="0"/>
        <w:spacing w:after="0" w:line="580" w:lineRule="exact"/>
        <w:ind w:firstLine="640" w:firstLineChars="200"/>
        <w:rPr>
          <w:rFonts w:ascii="仿宋" w:hAnsi="仿宋" w:eastAsia="仿宋" w:cs="仿宋"/>
          <w:sz w:val="32"/>
          <w:szCs w:val="32"/>
        </w:rPr>
      </w:pPr>
    </w:p>
    <w:p w14:paraId="1265FFB4">
      <w:pPr>
        <w:adjustRightInd w:val="0"/>
        <w:snapToGrid w:val="0"/>
        <w:spacing w:after="0" w:line="580" w:lineRule="exact"/>
        <w:ind w:firstLine="640" w:firstLineChars="200"/>
        <w:rPr>
          <w:rFonts w:ascii="仿宋" w:hAnsi="仿宋" w:eastAsia="仿宋" w:cs="仿宋"/>
          <w:sz w:val="32"/>
          <w:szCs w:val="32"/>
        </w:rPr>
      </w:pPr>
    </w:p>
    <w:p w14:paraId="2DDD5A1F">
      <w:pPr>
        <w:adjustRightInd w:val="0"/>
        <w:snapToGrid w:val="0"/>
        <w:spacing w:after="0" w:line="580" w:lineRule="exact"/>
        <w:ind w:firstLine="420" w:firstLineChars="200"/>
        <w:rPr>
          <w:rFonts w:ascii="仿宋" w:hAnsi="仿宋" w:eastAsia="仿宋" w:cs="仿宋"/>
          <w:sz w:val="32"/>
          <w:szCs w:val="32"/>
        </w:rPr>
      </w:pPr>
      <w:r>
        <w:pict>
          <v:shape id="_x0000_s1053" o:spid="_x0000_s1053" o:spt="202" type="#_x0000_t202" style="position:absolute;left:0pt;margin-left:52pt;margin-top:12.85pt;height:42.15pt;width:331.1pt;z-index:-251625472;mso-width-relative:page;mso-height-relative:page;" stroked="f" coordsize="21600,21600" o:gfxdata="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HDYg9UAAAAKAQAADwAAAAAAAAABACAAAAAiAAAA&#10;ZHJzL2Rvd25yZXYueG1sUEsBAhQAFAAAAAgAh07iQPHOf9ZDAgAATwQAAA4AAAAAAAAAAQAgAAAA&#10;JAEAAGRycy9lMm9Eb2MueG1sUEsFBgAAAAAGAAYAWQEAANkFAAAAAA==&#10;">
            <v:path/>
            <v:fill focussize="0,0"/>
            <v:stroke on="f" weight="0.5pt" joinstyle="miter"/>
            <v:imagedata o:title=""/>
            <o:lock v:ext="edit"/>
            <v:textbox>
              <w:txbxContent>
                <w:p w14:paraId="382219E4">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3</w:t>
                  </w:r>
                  <w:r>
                    <w:rPr>
                      <w:rFonts w:hint="eastAsia" w:ascii="仿宋_GB2312" w:eastAsia="仿宋_GB2312" w:cs="DengXian-Regular"/>
                      <w:sz w:val="28"/>
                      <w:szCs w:val="28"/>
                    </w:rPr>
                    <w:t>：</w:t>
                  </w:r>
                  <w:r>
                    <w:rPr>
                      <w:rFonts w:ascii="仿宋_GB2312" w:eastAsia="仿宋_GB2312" w:cs="DengXian-Regular"/>
                      <w:sz w:val="28"/>
                      <w:szCs w:val="28"/>
                    </w:rPr>
                    <w:t>2017-2018</w:t>
                  </w:r>
                  <w:r>
                    <w:rPr>
                      <w:rFonts w:hint="eastAsia" w:ascii="仿宋_GB2312" w:eastAsia="仿宋_GB2312" w:cs="DengXian-Regular"/>
                      <w:sz w:val="28"/>
                      <w:szCs w:val="28"/>
                    </w:rPr>
                    <w:t>年财政拨款收支情况</w:t>
                  </w:r>
                </w:p>
                <w:p w14:paraId="6E91EDAA">
                  <w:pPr>
                    <w:rPr>
                      <w:sz w:val="20"/>
                      <w:szCs w:val="22"/>
                    </w:rPr>
                  </w:pPr>
                </w:p>
              </w:txbxContent>
            </v:textbox>
          </v:shape>
        </w:pict>
      </w:r>
    </w:p>
    <w:p w14:paraId="5580E820">
      <w:pPr>
        <w:spacing w:after="0" w:line="580" w:lineRule="exact"/>
        <w:ind w:firstLine="643" w:firstLineChars="200"/>
        <w:rPr>
          <w:rFonts w:ascii="仿宋" w:hAnsi="仿宋" w:eastAsia="仿宋" w:cs="仿宋"/>
          <w:b/>
          <w:bCs/>
          <w:sz w:val="32"/>
          <w:szCs w:val="32"/>
        </w:rPr>
      </w:pPr>
    </w:p>
    <w:p w14:paraId="3CC40EAE">
      <w:pPr>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（二）财政拨款收支与年初预算数对比情况</w:t>
      </w:r>
    </w:p>
    <w:p w14:paraId="4BA802FB">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年度财政拨款本年收入</w:t>
      </w:r>
      <w:r>
        <w:rPr>
          <w:rFonts w:ascii="仿宋" w:hAnsi="仿宋" w:eastAsia="仿宋" w:cs="仿宋"/>
          <w:sz w:val="32"/>
          <w:szCs w:val="32"/>
        </w:rPr>
        <w:t>4605.44</w:t>
      </w:r>
      <w:r>
        <w:rPr>
          <w:rFonts w:hint="eastAsia" w:ascii="仿宋" w:hAnsi="仿宋" w:eastAsia="仿宋" w:cs="仿宋"/>
          <w:sz w:val="32"/>
          <w:szCs w:val="32"/>
        </w:rPr>
        <w:t>万元，完成年初预算的</w:t>
      </w:r>
      <w:r>
        <w:rPr>
          <w:rFonts w:ascii="仿宋" w:hAnsi="仿宋" w:eastAsia="仿宋" w:cs="仿宋"/>
          <w:sz w:val="32"/>
          <w:szCs w:val="32"/>
        </w:rPr>
        <w:t>133.19%,</w:t>
      </w:r>
      <w:r>
        <w:rPr>
          <w:rFonts w:hint="eastAsia" w:ascii="仿宋" w:hAnsi="仿宋" w:eastAsia="仿宋" w:cs="仿宋"/>
          <w:sz w:val="32"/>
          <w:szCs w:val="32"/>
        </w:rPr>
        <w:t>比年初预算增加</w:t>
      </w:r>
      <w:r>
        <w:rPr>
          <w:rFonts w:ascii="仿宋" w:hAnsi="仿宋" w:eastAsia="仿宋" w:cs="仿宋"/>
          <w:sz w:val="32"/>
          <w:szCs w:val="32"/>
        </w:rPr>
        <w:t>1147.71</w:t>
      </w:r>
      <w:r>
        <w:rPr>
          <w:rFonts w:hint="eastAsia" w:ascii="仿宋" w:hAnsi="仿宋" w:eastAsia="仿宋" w:cs="仿宋"/>
          <w:sz w:val="32"/>
          <w:szCs w:val="32"/>
        </w:rPr>
        <w:t>万元，决算数大于预算数主要原因是临时预算的增加；本年支出</w:t>
      </w:r>
      <w:r>
        <w:rPr>
          <w:rFonts w:ascii="仿宋" w:hAnsi="仿宋" w:eastAsia="仿宋" w:cs="仿宋"/>
          <w:sz w:val="32"/>
          <w:szCs w:val="32"/>
        </w:rPr>
        <w:t>3789.73</w:t>
      </w:r>
      <w:r>
        <w:rPr>
          <w:rFonts w:hint="eastAsia" w:ascii="仿宋" w:hAnsi="仿宋" w:eastAsia="仿宋" w:cs="仿宋"/>
          <w:sz w:val="32"/>
          <w:szCs w:val="32"/>
        </w:rPr>
        <w:t>万元，完成年初预算的</w:t>
      </w:r>
      <w:r>
        <w:rPr>
          <w:rFonts w:ascii="仿宋" w:hAnsi="仿宋" w:eastAsia="仿宋" w:cs="仿宋"/>
          <w:sz w:val="32"/>
          <w:szCs w:val="32"/>
        </w:rPr>
        <w:t>109.60%,</w:t>
      </w:r>
      <w:r>
        <w:rPr>
          <w:rFonts w:hint="eastAsia" w:ascii="仿宋" w:hAnsi="仿宋" w:eastAsia="仿宋" w:cs="仿宋"/>
          <w:sz w:val="32"/>
          <w:szCs w:val="32"/>
        </w:rPr>
        <w:t>比年初预算增加</w:t>
      </w:r>
      <w:r>
        <w:rPr>
          <w:rFonts w:ascii="仿宋" w:hAnsi="仿宋" w:eastAsia="仿宋" w:cs="仿宋"/>
          <w:sz w:val="32"/>
          <w:szCs w:val="32"/>
        </w:rPr>
        <w:t>332</w:t>
      </w:r>
      <w:r>
        <w:rPr>
          <w:rFonts w:hint="eastAsia" w:ascii="仿宋" w:hAnsi="仿宋" w:eastAsia="仿宋" w:cs="仿宋"/>
          <w:sz w:val="32"/>
          <w:szCs w:val="32"/>
        </w:rPr>
        <w:t>万元，决算数大于预算数主要原因是主要是临时预算的增加。</w:t>
      </w:r>
    </w:p>
    <w:p w14:paraId="7CC2010C">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其中，一般公共预算财政拨款本年收入完成年初预算</w:t>
      </w:r>
      <w:r>
        <w:rPr>
          <w:rFonts w:ascii="仿宋" w:hAnsi="仿宋" w:eastAsia="仿宋" w:cs="仿宋"/>
          <w:sz w:val="32"/>
          <w:szCs w:val="32"/>
        </w:rPr>
        <w:t>117.95%</w:t>
      </w:r>
      <w:r>
        <w:rPr>
          <w:rFonts w:hint="eastAsia" w:ascii="仿宋" w:hAnsi="仿宋" w:eastAsia="仿宋" w:cs="仿宋"/>
          <w:sz w:val="32"/>
          <w:szCs w:val="32"/>
        </w:rPr>
        <w:t>，比年初预算增加</w:t>
      </w:r>
      <w:r>
        <w:rPr>
          <w:rFonts w:ascii="仿宋" w:hAnsi="仿宋" w:eastAsia="仿宋" w:cs="仿宋"/>
          <w:sz w:val="32"/>
          <w:szCs w:val="32"/>
        </w:rPr>
        <w:t>620.74</w:t>
      </w:r>
      <w:r>
        <w:rPr>
          <w:rFonts w:hint="eastAsia" w:ascii="仿宋" w:hAnsi="仿宋" w:eastAsia="仿宋" w:cs="仿宋"/>
          <w:sz w:val="32"/>
          <w:szCs w:val="32"/>
        </w:rPr>
        <w:t>万元，主要是临时预算的增加；支出完成年初预算</w:t>
      </w:r>
      <w:r>
        <w:rPr>
          <w:rFonts w:ascii="仿宋" w:hAnsi="仿宋" w:eastAsia="仿宋" w:cs="仿宋"/>
          <w:sz w:val="32"/>
          <w:szCs w:val="32"/>
        </w:rPr>
        <w:t>94.36%</w:t>
      </w:r>
      <w:r>
        <w:rPr>
          <w:rFonts w:hint="eastAsia" w:ascii="仿宋" w:hAnsi="仿宋" w:eastAsia="仿宋" w:cs="仿宋"/>
          <w:sz w:val="32"/>
          <w:szCs w:val="32"/>
        </w:rPr>
        <w:t>，比年初预算减少</w:t>
      </w:r>
      <w:r>
        <w:rPr>
          <w:rFonts w:ascii="仿宋" w:hAnsi="仿宋" w:eastAsia="仿宋" w:cs="仿宋"/>
          <w:sz w:val="32"/>
          <w:szCs w:val="32"/>
        </w:rPr>
        <w:t>194.98</w:t>
      </w:r>
      <w:r>
        <w:rPr>
          <w:rFonts w:hint="eastAsia" w:ascii="仿宋" w:hAnsi="仿宋" w:eastAsia="仿宋" w:cs="仿宋"/>
          <w:sz w:val="32"/>
          <w:szCs w:val="32"/>
        </w:rPr>
        <w:t>万元，主要是交通基础设施建设一般公共预算投入减少，本年增加了政府性基金预算财政拨款。政府性基金预算财政拨款本年收入年初预算未安排，比年初预算增加</w:t>
      </w:r>
      <w:r>
        <w:rPr>
          <w:rFonts w:ascii="仿宋" w:hAnsi="仿宋" w:eastAsia="仿宋" w:cs="仿宋"/>
          <w:sz w:val="32"/>
          <w:szCs w:val="32"/>
        </w:rPr>
        <w:t>526.98</w:t>
      </w:r>
      <w:r>
        <w:rPr>
          <w:rFonts w:hint="eastAsia" w:ascii="仿宋" w:hAnsi="仿宋" w:eastAsia="仿宋" w:cs="仿宋"/>
          <w:sz w:val="32"/>
          <w:szCs w:val="32"/>
        </w:rPr>
        <w:t>万元，主要是交通基础设施增加；支出年初预算未安排，比年初预算增加</w:t>
      </w:r>
      <w:r>
        <w:rPr>
          <w:rFonts w:ascii="仿宋" w:hAnsi="仿宋" w:eastAsia="仿宋" w:cs="仿宋"/>
          <w:sz w:val="32"/>
          <w:szCs w:val="32"/>
        </w:rPr>
        <w:t>526.98</w:t>
      </w:r>
      <w:r>
        <w:rPr>
          <w:rFonts w:hint="eastAsia" w:ascii="仿宋" w:hAnsi="仿宋" w:eastAsia="仿宋" w:cs="仿宋"/>
          <w:sz w:val="32"/>
          <w:szCs w:val="32"/>
        </w:rPr>
        <w:t>万元，主要是交通基础设施投入增加。</w:t>
      </w:r>
    </w:p>
    <w:p w14:paraId="39F64C97">
      <w:pPr>
        <w:adjustRightInd w:val="0"/>
        <w:snapToGrid w:val="0"/>
        <w:spacing w:after="0" w:line="580" w:lineRule="exact"/>
        <w:ind w:firstLine="420" w:firstLineChars="200"/>
        <w:rPr>
          <w:rFonts w:ascii="仿宋" w:hAnsi="仿宋" w:eastAsia="仿宋" w:cs="仿宋"/>
          <w:sz w:val="32"/>
          <w:szCs w:val="32"/>
          <w:highlight w:val="yellow"/>
        </w:rPr>
      </w:pPr>
      <w:r>
        <w:pict>
          <v:shape id="_x0000_s1054" o:spid="_x0000_s1054" o:spt="75" type="#_x0000_t75" style="position:absolute;left:0pt;margin-left:56.15pt;margin-top:12.7pt;height:186.7pt;width:341.3pt;mso-wrap-distance-bottom:0pt;mso-wrap-distance-left:9pt;mso-wrap-distance-right:9pt;mso-wrap-distance-top:0pt;z-index:251674624;mso-width-relative:page;mso-height-relative:page;" o:ole="t" filled="f" o:preferrelative="t" stroked="f" coordsize="21600,21600">
            <v:path/>
            <v:fill on="f" focussize="0,0"/>
            <v:stroke on="f" joinstyle="miter"/>
            <v:imagedata r:id="rId14" o:title=""/>
            <o:lock v:ext="edit" aspectratio="t"/>
            <w10:wrap type="square"/>
          </v:shape>
          <o:OLEObject Type="Embed" ProgID="Excel.Chart.8" ShapeID="_x0000_s1054" DrawAspect="Content" ObjectID="_1468075727" r:id="rId13">
            <o:LockedField>false</o:LockedField>
          </o:OLEObject>
        </w:pict>
      </w:r>
    </w:p>
    <w:p w14:paraId="4C2C4397">
      <w:pPr>
        <w:adjustRightInd w:val="0"/>
        <w:snapToGrid w:val="0"/>
        <w:spacing w:after="0" w:line="580" w:lineRule="exact"/>
        <w:ind w:firstLine="640" w:firstLineChars="200"/>
        <w:rPr>
          <w:rFonts w:ascii="仿宋" w:hAnsi="仿宋" w:eastAsia="仿宋" w:cs="仿宋"/>
          <w:sz w:val="32"/>
          <w:szCs w:val="32"/>
          <w:highlight w:val="yellow"/>
        </w:rPr>
      </w:pPr>
    </w:p>
    <w:p w14:paraId="149C6975">
      <w:pPr>
        <w:adjustRightInd w:val="0"/>
        <w:snapToGrid w:val="0"/>
        <w:spacing w:after="0" w:line="580" w:lineRule="exact"/>
        <w:ind w:firstLine="640" w:firstLineChars="200"/>
        <w:rPr>
          <w:rFonts w:ascii="仿宋" w:hAnsi="仿宋" w:eastAsia="仿宋" w:cs="仿宋"/>
          <w:sz w:val="32"/>
          <w:szCs w:val="32"/>
          <w:highlight w:val="yellow"/>
        </w:rPr>
      </w:pPr>
    </w:p>
    <w:p w14:paraId="01E119AC">
      <w:pPr>
        <w:adjustRightInd w:val="0"/>
        <w:snapToGrid w:val="0"/>
        <w:spacing w:after="0" w:line="580" w:lineRule="exact"/>
        <w:ind w:firstLine="640" w:firstLineChars="200"/>
        <w:rPr>
          <w:rFonts w:ascii="仿宋" w:hAnsi="仿宋" w:eastAsia="仿宋" w:cs="仿宋"/>
          <w:sz w:val="32"/>
          <w:szCs w:val="32"/>
          <w:highlight w:val="yellow"/>
        </w:rPr>
      </w:pPr>
    </w:p>
    <w:p w14:paraId="6FF2535E">
      <w:pPr>
        <w:adjustRightInd w:val="0"/>
        <w:snapToGrid w:val="0"/>
        <w:spacing w:after="0" w:line="580" w:lineRule="exact"/>
        <w:ind w:firstLine="640" w:firstLineChars="200"/>
        <w:rPr>
          <w:rFonts w:ascii="仿宋" w:hAnsi="仿宋" w:eastAsia="仿宋" w:cs="仿宋"/>
          <w:sz w:val="32"/>
          <w:szCs w:val="32"/>
          <w:highlight w:val="yellow"/>
        </w:rPr>
      </w:pPr>
    </w:p>
    <w:p w14:paraId="3725943E">
      <w:pPr>
        <w:adjustRightInd w:val="0"/>
        <w:snapToGrid w:val="0"/>
        <w:spacing w:after="0" w:line="580" w:lineRule="exact"/>
        <w:ind w:firstLine="640" w:firstLineChars="200"/>
        <w:rPr>
          <w:rFonts w:ascii="仿宋" w:hAnsi="仿宋" w:eastAsia="仿宋" w:cs="仿宋"/>
          <w:sz w:val="32"/>
          <w:szCs w:val="32"/>
          <w:highlight w:val="yellow"/>
        </w:rPr>
      </w:pPr>
    </w:p>
    <w:p w14:paraId="7CABB477">
      <w:pPr>
        <w:adjustRightInd w:val="0"/>
        <w:snapToGrid w:val="0"/>
        <w:spacing w:after="0" w:line="580" w:lineRule="exact"/>
        <w:ind w:firstLine="640" w:firstLineChars="200"/>
        <w:rPr>
          <w:rFonts w:ascii="仿宋" w:hAnsi="仿宋" w:eastAsia="仿宋" w:cs="仿宋"/>
          <w:sz w:val="32"/>
          <w:szCs w:val="32"/>
          <w:highlight w:val="yellow"/>
        </w:rPr>
      </w:pPr>
    </w:p>
    <w:p w14:paraId="76BEDA6C">
      <w:pPr>
        <w:adjustRightInd w:val="0"/>
        <w:snapToGrid w:val="0"/>
        <w:spacing w:after="0" w:line="580" w:lineRule="exact"/>
        <w:ind w:firstLine="420" w:firstLineChars="200"/>
        <w:rPr>
          <w:rFonts w:ascii="仿宋" w:hAnsi="仿宋" w:eastAsia="仿宋" w:cs="仿宋"/>
          <w:sz w:val="32"/>
          <w:szCs w:val="32"/>
          <w:highlight w:val="yellow"/>
        </w:rPr>
      </w:pPr>
      <w:r>
        <w:pict>
          <v:shape id="文本框 28" o:spid="_x0000_s1055" o:spt="202" type="#_x0000_t202" style="position:absolute;left:0pt;margin-left:45.95pt;margin-top:24.65pt;height:38.95pt;width:343.15pt;z-index:-251624448;mso-width-relative:page;mso-height-relative:page;" stroked="f" coordsize="21600,21600" o:gfxdata="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buuLQ9UAAAAJAQAADwAAAAAAAAABACAAAAAiAAAA&#10;ZHJzL2Rvd25yZXYueG1sUEsBAhQAFAAAAAgAh07iQNEXezhDAgAATwQAAA4AAAAAAAAAAQAgAAAA&#10;JAEAAGRycy9lMm9Eb2MueG1sUEsFBgAAAAAGAAYAWQEAANkFAAAAAA==&#10;">
            <v:path/>
            <v:fill focussize="0,0"/>
            <v:stroke on="f" weight="0.5pt" joinstyle="miter"/>
            <v:imagedata o:title=""/>
            <o:lock v:ext="edit"/>
            <v:textbox>
              <w:txbxContent>
                <w:p w14:paraId="7693FE7E">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w:t>
                  </w:r>
                  <w:r>
                    <w:rPr>
                      <w:rFonts w:ascii="仿宋_GB2312" w:eastAsia="仿宋_GB2312" w:cs="DengXian-Regular"/>
                      <w:sz w:val="24"/>
                    </w:rPr>
                    <w:t>4</w:t>
                  </w:r>
                  <w:r>
                    <w:rPr>
                      <w:rFonts w:hint="eastAsia" w:ascii="仿宋_GB2312" w:eastAsia="仿宋_GB2312" w:cs="DengXian-Regular"/>
                      <w:sz w:val="24"/>
                    </w:rPr>
                    <w:t>：财政拨款收支预决算对比情况</w:t>
                  </w:r>
                </w:p>
                <w:p w14:paraId="2566EA16">
                  <w:pPr>
                    <w:rPr>
                      <w:sz w:val="18"/>
                      <w:szCs w:val="21"/>
                    </w:rPr>
                  </w:pPr>
                </w:p>
              </w:txbxContent>
            </v:textbox>
          </v:shape>
        </w:pict>
      </w:r>
    </w:p>
    <w:p w14:paraId="0FA346A8">
      <w:pPr>
        <w:adjustRightInd w:val="0"/>
        <w:snapToGrid w:val="0"/>
        <w:spacing w:after="0" w:line="580" w:lineRule="exact"/>
        <w:ind w:firstLine="640" w:firstLineChars="200"/>
        <w:rPr>
          <w:rFonts w:ascii="仿宋" w:hAnsi="仿宋" w:eastAsia="仿宋" w:cs="仿宋"/>
          <w:sz w:val="32"/>
          <w:szCs w:val="32"/>
          <w:highlight w:val="yellow"/>
        </w:rPr>
      </w:pPr>
    </w:p>
    <w:p w14:paraId="1726B261">
      <w:pPr>
        <w:numPr>
          <w:ilvl w:val="0"/>
          <w:numId w:val="1"/>
        </w:numPr>
        <w:adjustRightInd w:val="0"/>
        <w:snapToGrid w:val="0"/>
        <w:spacing w:after="0" w:line="580" w:lineRule="exact"/>
        <w:ind w:left="420" w:leftChars="200"/>
        <w:rPr>
          <w:rFonts w:ascii="仿宋" w:hAnsi="仿宋" w:eastAsia="仿宋" w:cs="仿宋"/>
          <w:b/>
          <w:bCs/>
          <w:sz w:val="32"/>
          <w:szCs w:val="32"/>
        </w:rPr>
      </w:pPr>
      <w:r>
        <w:rPr>
          <w:rFonts w:hint="eastAsia" w:ascii="仿宋" w:hAnsi="仿宋" w:eastAsia="仿宋" w:cs="仿宋"/>
          <w:b/>
          <w:bCs/>
          <w:sz w:val="32"/>
          <w:szCs w:val="32"/>
        </w:rPr>
        <w:t>财政拨款支出决算结构情况。</w:t>
      </w:r>
    </w:p>
    <w:p w14:paraId="3C36D3BC">
      <w:pPr>
        <w:adjustRightInd w:val="0"/>
        <w:snapToGrid w:val="0"/>
        <w:spacing w:after="0" w:line="580" w:lineRule="exact"/>
        <w:ind w:firstLine="640" w:firstLineChars="200"/>
        <w:rPr>
          <w:rFonts w:ascii="仿宋" w:hAnsi="仿宋" w:eastAsia="仿宋" w:cs="仿宋"/>
          <w:sz w:val="32"/>
          <w:szCs w:val="32"/>
        </w:rPr>
      </w:pPr>
      <w:r>
        <w:rPr>
          <w:rFonts w:ascii="仿宋" w:hAnsi="仿宋" w:eastAsia="仿宋" w:cs="仿宋"/>
          <w:sz w:val="32"/>
          <w:szCs w:val="32"/>
        </w:rPr>
        <w:t xml:space="preserve">2018 </w:t>
      </w:r>
      <w:r>
        <w:rPr>
          <w:rFonts w:hint="eastAsia" w:ascii="仿宋" w:hAnsi="仿宋" w:eastAsia="仿宋" w:cs="仿宋"/>
          <w:sz w:val="32"/>
          <w:szCs w:val="32"/>
        </w:rPr>
        <w:t>年度财政拨款支出</w:t>
      </w:r>
      <w:r>
        <w:rPr>
          <w:rFonts w:ascii="仿宋" w:hAnsi="仿宋" w:eastAsia="仿宋" w:cs="仿宋"/>
          <w:sz w:val="32"/>
          <w:szCs w:val="32"/>
        </w:rPr>
        <w:t>3789.73</w:t>
      </w:r>
      <w:r>
        <w:rPr>
          <w:rFonts w:hint="eastAsia" w:ascii="仿宋" w:hAnsi="仿宋" w:eastAsia="仿宋" w:cs="仿宋"/>
          <w:sz w:val="32"/>
          <w:szCs w:val="32"/>
        </w:rPr>
        <w:t>万元，主要用于以下方面：一般公共服务支出</w:t>
      </w:r>
      <w:r>
        <w:rPr>
          <w:rFonts w:ascii="仿宋" w:hAnsi="仿宋" w:eastAsia="仿宋" w:cs="仿宋"/>
          <w:sz w:val="32"/>
          <w:szCs w:val="32"/>
        </w:rPr>
        <w:t>2.52</w:t>
      </w:r>
      <w:r>
        <w:rPr>
          <w:rFonts w:hint="eastAsia" w:ascii="仿宋" w:hAnsi="仿宋" w:eastAsia="仿宋" w:cs="仿宋"/>
          <w:sz w:val="32"/>
          <w:szCs w:val="32"/>
        </w:rPr>
        <w:t>万元，占</w:t>
      </w:r>
      <w:r>
        <w:rPr>
          <w:rFonts w:ascii="仿宋" w:hAnsi="仿宋" w:eastAsia="仿宋" w:cs="仿宋"/>
          <w:sz w:val="32"/>
          <w:szCs w:val="32"/>
        </w:rPr>
        <w:t>0.06%</w:t>
      </w:r>
      <w:r>
        <w:rPr>
          <w:rFonts w:hint="eastAsia" w:ascii="仿宋" w:hAnsi="仿宋" w:eastAsia="仿宋" w:cs="仿宋"/>
          <w:sz w:val="32"/>
          <w:szCs w:val="32"/>
        </w:rPr>
        <w:t>，节能环保</w:t>
      </w:r>
      <w:r>
        <w:rPr>
          <w:rFonts w:hint="eastAsia" w:ascii="仿宋" w:hAnsi="仿宋" w:eastAsia="仿宋" w:cs="仿宋"/>
          <w:sz w:val="32"/>
          <w:szCs w:val="32"/>
          <w:lang w:eastAsia="zh-CN"/>
        </w:rPr>
        <w:t>支出</w:t>
      </w:r>
      <w:r>
        <w:rPr>
          <w:rFonts w:ascii="仿宋" w:hAnsi="仿宋" w:eastAsia="仿宋" w:cs="仿宋"/>
          <w:sz w:val="32"/>
          <w:szCs w:val="32"/>
        </w:rPr>
        <w:t>172.03</w:t>
      </w:r>
      <w:r>
        <w:rPr>
          <w:rFonts w:hint="eastAsia" w:ascii="仿宋" w:hAnsi="仿宋" w:eastAsia="仿宋" w:cs="仿宋"/>
          <w:sz w:val="32"/>
          <w:szCs w:val="32"/>
        </w:rPr>
        <w:t>万元，占</w:t>
      </w:r>
      <w:r>
        <w:rPr>
          <w:rFonts w:ascii="仿宋" w:hAnsi="仿宋" w:eastAsia="仿宋" w:cs="仿宋"/>
          <w:sz w:val="32"/>
          <w:szCs w:val="32"/>
        </w:rPr>
        <w:t>4.54%</w:t>
      </w:r>
      <w:r>
        <w:rPr>
          <w:rFonts w:hint="eastAsia" w:ascii="仿宋" w:hAnsi="仿宋" w:eastAsia="仿宋" w:cs="仿宋"/>
          <w:sz w:val="32"/>
          <w:szCs w:val="32"/>
        </w:rPr>
        <w:t>；城乡社区支出</w:t>
      </w:r>
      <w:r>
        <w:rPr>
          <w:rFonts w:ascii="仿宋" w:hAnsi="仿宋" w:eastAsia="仿宋" w:cs="仿宋"/>
          <w:sz w:val="32"/>
          <w:szCs w:val="32"/>
        </w:rPr>
        <w:t>526.98</w:t>
      </w:r>
      <w:r>
        <w:rPr>
          <w:rFonts w:hint="eastAsia" w:ascii="仿宋" w:hAnsi="仿宋" w:eastAsia="仿宋" w:cs="仿宋"/>
          <w:sz w:val="32"/>
          <w:szCs w:val="32"/>
        </w:rPr>
        <w:t>万元，占</w:t>
      </w:r>
      <w:r>
        <w:rPr>
          <w:rFonts w:ascii="仿宋" w:hAnsi="仿宋" w:eastAsia="仿宋" w:cs="仿宋"/>
          <w:sz w:val="32"/>
          <w:szCs w:val="32"/>
        </w:rPr>
        <w:t>13.91%</w:t>
      </w:r>
      <w:r>
        <w:rPr>
          <w:rFonts w:hint="eastAsia" w:ascii="仿宋" w:hAnsi="仿宋" w:eastAsia="仿宋" w:cs="仿宋"/>
          <w:sz w:val="32"/>
          <w:szCs w:val="32"/>
        </w:rPr>
        <w:t>；农林水支出</w:t>
      </w:r>
      <w:r>
        <w:rPr>
          <w:rFonts w:ascii="仿宋" w:hAnsi="仿宋" w:eastAsia="仿宋" w:cs="仿宋"/>
          <w:sz w:val="32"/>
          <w:szCs w:val="32"/>
        </w:rPr>
        <w:t>8</w:t>
      </w:r>
      <w:r>
        <w:rPr>
          <w:rFonts w:hint="eastAsia" w:ascii="仿宋" w:hAnsi="仿宋" w:eastAsia="仿宋" w:cs="仿宋"/>
          <w:sz w:val="32"/>
          <w:szCs w:val="32"/>
        </w:rPr>
        <w:t>万元，占</w:t>
      </w:r>
      <w:r>
        <w:rPr>
          <w:rFonts w:ascii="仿宋" w:hAnsi="仿宋" w:eastAsia="仿宋" w:cs="仿宋"/>
          <w:sz w:val="32"/>
          <w:szCs w:val="32"/>
        </w:rPr>
        <w:t>0.21%</w:t>
      </w:r>
      <w:r>
        <w:rPr>
          <w:rFonts w:hint="eastAsia" w:ascii="仿宋" w:hAnsi="仿宋" w:eastAsia="仿宋" w:cs="仿宋"/>
          <w:sz w:val="32"/>
          <w:szCs w:val="32"/>
        </w:rPr>
        <w:t>；交通运输支出</w:t>
      </w:r>
      <w:r>
        <w:rPr>
          <w:rFonts w:ascii="仿宋" w:hAnsi="仿宋" w:eastAsia="仿宋" w:cs="仿宋"/>
          <w:sz w:val="32"/>
          <w:szCs w:val="32"/>
        </w:rPr>
        <w:t>3080.2</w:t>
      </w:r>
      <w:r>
        <w:rPr>
          <w:rFonts w:hint="eastAsia" w:ascii="仿宋" w:hAnsi="仿宋" w:eastAsia="仿宋" w:cs="仿宋"/>
          <w:sz w:val="32"/>
          <w:szCs w:val="32"/>
        </w:rPr>
        <w:t>万元，占</w:t>
      </w:r>
      <w:r>
        <w:rPr>
          <w:rFonts w:ascii="仿宋" w:hAnsi="仿宋" w:eastAsia="仿宋" w:cs="仿宋"/>
          <w:sz w:val="32"/>
          <w:szCs w:val="32"/>
        </w:rPr>
        <w:t xml:space="preserve"> 81.28%</w:t>
      </w:r>
      <w:r>
        <w:rPr>
          <w:rFonts w:hint="eastAsia" w:ascii="仿宋" w:hAnsi="仿宋" w:eastAsia="仿宋" w:cs="仿宋"/>
          <w:sz w:val="32"/>
          <w:szCs w:val="32"/>
        </w:rPr>
        <w:t>。</w:t>
      </w:r>
      <w:r>
        <w:rPr>
          <w:rFonts w:ascii="仿宋" w:hAnsi="仿宋" w:eastAsia="仿宋" w:cs="仿宋"/>
          <w:sz w:val="32"/>
          <w:szCs w:val="32"/>
        </w:rPr>
        <w:t xml:space="preserve">     </w:t>
      </w:r>
    </w:p>
    <w:p w14:paraId="461F1F92">
      <w:pPr>
        <w:adjustRightInd w:val="0"/>
        <w:snapToGrid w:val="0"/>
        <w:spacing w:after="0" w:line="580" w:lineRule="exact"/>
        <w:rPr>
          <w:rFonts w:ascii="仿宋" w:hAnsi="仿宋" w:eastAsia="仿宋" w:cs="仿宋"/>
          <w:b/>
          <w:bCs/>
          <w:sz w:val="32"/>
          <w:szCs w:val="32"/>
        </w:rPr>
      </w:pPr>
    </w:p>
    <w:p w14:paraId="7B795EB7">
      <w:pPr>
        <w:adjustRightInd w:val="0"/>
        <w:snapToGrid w:val="0"/>
        <w:spacing w:after="0" w:line="580" w:lineRule="exact"/>
        <w:rPr>
          <w:rFonts w:ascii="仿宋" w:hAnsi="仿宋" w:eastAsia="仿宋" w:cs="仿宋"/>
          <w:b/>
          <w:bCs/>
          <w:sz w:val="32"/>
          <w:szCs w:val="32"/>
        </w:rPr>
      </w:pPr>
      <w:r>
        <w:pict>
          <v:shape id="_x0000_s1056" o:spid="_x0000_s1056" o:spt="75" type="#_x0000_t75" style="position:absolute;left:0pt;margin-left:81.15pt;margin-top:-557.55pt;height:222.25pt;width:240.95pt;mso-wrap-distance-bottom:0.15pt;mso-wrap-distance-left:9pt;mso-wrap-distance-right:9pt;mso-wrap-distance-top:0pt;z-index:251673600;mso-width-relative:page;mso-height-relative:page;" o:ole="t" filled="f" o:preferrelative="t" stroked="f" coordsize="21600,21600">
            <v:path/>
            <v:fill on="f" focussize="0,0"/>
            <v:stroke on="f" joinstyle="miter"/>
            <v:imagedata r:id="rId16" o:title=""/>
            <o:lock v:ext="edit" aspectratio="t"/>
            <w10:wrap type="square"/>
          </v:shape>
          <o:OLEObject Type="Embed" ProgID="Excel.Chart.8" ShapeID="_x0000_s1056" DrawAspect="Content" ObjectID="_1468075728" r:id="rId15">
            <o:LockedField>false</o:LockedField>
          </o:OLEObject>
        </w:pict>
      </w:r>
    </w:p>
    <w:p w14:paraId="291EA074">
      <w:pPr>
        <w:adjustRightInd w:val="0"/>
        <w:snapToGrid w:val="0"/>
        <w:spacing w:after="0" w:line="580" w:lineRule="exact"/>
        <w:rPr>
          <w:rFonts w:ascii="仿宋" w:hAnsi="仿宋" w:eastAsia="仿宋" w:cs="仿宋"/>
          <w:b/>
          <w:bCs/>
          <w:sz w:val="32"/>
          <w:szCs w:val="32"/>
        </w:rPr>
      </w:pPr>
    </w:p>
    <w:p w14:paraId="14B24788">
      <w:pPr>
        <w:adjustRightInd w:val="0"/>
        <w:snapToGrid w:val="0"/>
        <w:spacing w:after="0" w:line="580" w:lineRule="exact"/>
        <w:rPr>
          <w:rFonts w:ascii="仿宋" w:hAnsi="仿宋" w:eastAsia="仿宋" w:cs="仿宋"/>
          <w:b/>
          <w:bCs/>
          <w:sz w:val="32"/>
          <w:szCs w:val="32"/>
        </w:rPr>
      </w:pPr>
    </w:p>
    <w:p w14:paraId="0959EE66">
      <w:pPr>
        <w:adjustRightInd w:val="0"/>
        <w:snapToGrid w:val="0"/>
        <w:spacing w:after="0" w:line="580" w:lineRule="exact"/>
        <w:ind w:left="420" w:leftChars="200"/>
        <w:rPr>
          <w:rFonts w:ascii="仿宋" w:hAnsi="仿宋" w:eastAsia="仿宋" w:cs="仿宋"/>
          <w:b/>
          <w:bCs/>
          <w:sz w:val="32"/>
          <w:szCs w:val="32"/>
        </w:rPr>
      </w:pPr>
      <w:r>
        <w:rPr>
          <w:rFonts w:ascii="仿宋" w:hAnsi="仿宋" w:eastAsia="仿宋" w:cs="仿宋"/>
          <w:b/>
          <w:bCs/>
          <w:sz w:val="32"/>
          <w:szCs w:val="32"/>
        </w:rPr>
        <w:t xml:space="preserve">         </w:t>
      </w:r>
    </w:p>
    <w:p w14:paraId="6CFEA993">
      <w:pPr>
        <w:adjustRightInd w:val="0"/>
        <w:snapToGrid w:val="0"/>
        <w:spacing w:after="0" w:line="580" w:lineRule="exact"/>
        <w:ind w:left="420" w:leftChars="200"/>
        <w:rPr>
          <w:rFonts w:ascii="仿宋" w:hAnsi="仿宋" w:eastAsia="仿宋" w:cs="仿宋"/>
          <w:b/>
          <w:bCs/>
          <w:sz w:val="32"/>
          <w:szCs w:val="32"/>
        </w:rPr>
      </w:pPr>
      <w:r>
        <w:pict>
          <v:shape id="文本框 32" o:spid="_x0000_s1057" o:spt="202" type="#_x0000_t202" style="position:absolute;left:0pt;margin-left:85.6pt;margin-top:59.95pt;height:6pt;width:297.1pt;z-index:-251626496;mso-width-relative:page;mso-height-relative:page;" stroked="f" coordsize="21600,21600" o:gfxdata="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Dn/WhTWAAAACwEAAA8AAAAAAAAAAQAgAAAAIgAAAGRy&#10;cy9kb3ducmV2LnhtbFBLAQIUABQAAAAIAIdO4kAw685zQAIAAE0EAAAOAAAAAAAAAAEAIAAAACUB&#10;AABkcnMvZTJvRG9jLnhtbFBLBQYAAAAABgAGAFkBAADXBQAAAAA=&#10;">
            <v:path/>
            <v:fill focussize="0,0"/>
            <v:stroke on="f" weight="0.5pt" joinstyle="miter"/>
            <v:imagedata o:title=""/>
            <o:lock v:ext="edit"/>
            <v:textbox>
              <w:txbxContent>
                <w:p w14:paraId="59DAA4F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5</w:t>
                  </w:r>
                  <w:r>
                    <w:rPr>
                      <w:rFonts w:hint="eastAsia" w:ascii="仿宋_GB2312" w:eastAsia="仿宋_GB2312" w:cs="DengXian-Regular"/>
                      <w:sz w:val="28"/>
                      <w:szCs w:val="28"/>
                    </w:rPr>
                    <w:t>：财政拨款支出决算结构（按功能分类）</w:t>
                  </w:r>
                </w:p>
                <w:p w14:paraId="0BD2FCEF">
                  <w:pPr>
                    <w:rPr>
                      <w:sz w:val="20"/>
                      <w:szCs w:val="22"/>
                    </w:rPr>
                  </w:pPr>
                </w:p>
              </w:txbxContent>
            </v:textbox>
          </v:shape>
        </w:pict>
      </w:r>
    </w:p>
    <w:p w14:paraId="2D88476D">
      <w:pPr>
        <w:adjustRightInd w:val="0"/>
        <w:snapToGrid w:val="0"/>
        <w:spacing w:after="0" w:line="580" w:lineRule="exact"/>
        <w:ind w:left="420" w:leftChars="200"/>
        <w:rPr>
          <w:rFonts w:ascii="仿宋" w:hAnsi="仿宋" w:eastAsia="仿宋" w:cs="仿宋"/>
          <w:b/>
          <w:bCs/>
          <w:sz w:val="32"/>
          <w:szCs w:val="32"/>
        </w:rPr>
      </w:pPr>
      <w:r>
        <w:pict>
          <v:shape id="_x0000_s1058" o:spid="_x0000_s1058" o:spt="202" type="#_x0000_t202" style="position:absolute;left:0pt;margin-left:85.6pt;margin-top:639.95pt;height:6pt;width:297.1pt;z-index:-251623424;mso-width-relative:page;mso-height-relative:page;" stroked="f" coordsize="21600,21600" o:gfxdata="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D5O/a1wAAAA0BAAAPAAAAAAAAAAEAIAAAACIAAABkcnMvZG93bnJldi54bWxQ&#10;SwECFAAUAAAACACHTuJAj7MZBjECAABBBAAADgAAAAAAAAABACAAAAAmAQAAZHJzL2Uyb0RvYy54&#10;bWxQSwUGAAAAAAYABgBZAQAAyQUAAAAA&#10;">
            <v:path/>
            <v:fill focussize="0,0"/>
            <v:stroke on="f" weight="0.5pt" joinstyle="miter"/>
            <v:imagedata o:title=""/>
            <o:lock v:ext="edit"/>
            <v:textbox>
              <w:txbxContent>
                <w:p w14:paraId="112AA08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5</w:t>
                  </w:r>
                  <w:r>
                    <w:rPr>
                      <w:rFonts w:hint="eastAsia" w:ascii="仿宋_GB2312" w:eastAsia="仿宋_GB2312" w:cs="DengXian-Regular"/>
                      <w:sz w:val="28"/>
                      <w:szCs w:val="28"/>
                    </w:rPr>
                    <w:t>：财政拨款支出决算结构（按功能分类）</w:t>
                  </w:r>
                </w:p>
                <w:p w14:paraId="68C65D8E">
                  <w:pPr>
                    <w:rPr>
                      <w:sz w:val="20"/>
                      <w:szCs w:val="22"/>
                    </w:rPr>
                  </w:pPr>
                </w:p>
              </w:txbxContent>
            </v:textbox>
          </v:shape>
        </w:pict>
      </w:r>
    </w:p>
    <w:p w14:paraId="192FB1FA">
      <w:pPr>
        <w:adjustRightInd w:val="0"/>
        <w:snapToGrid w:val="0"/>
        <w:spacing w:after="0" w:line="580" w:lineRule="exact"/>
        <w:ind w:left="420" w:leftChars="200"/>
        <w:rPr>
          <w:rFonts w:ascii="仿宋" w:hAnsi="仿宋" w:eastAsia="仿宋" w:cs="仿宋"/>
          <w:b/>
          <w:bCs/>
          <w:sz w:val="32"/>
          <w:szCs w:val="32"/>
        </w:rPr>
      </w:pPr>
    </w:p>
    <w:p w14:paraId="77CFDF02">
      <w:pPr>
        <w:adjustRightInd w:val="0"/>
        <w:snapToGrid w:val="0"/>
        <w:spacing w:after="0" w:line="580" w:lineRule="exact"/>
        <w:ind w:left="420" w:leftChars="200"/>
        <w:rPr>
          <w:rFonts w:ascii="仿宋" w:hAnsi="仿宋" w:eastAsia="仿宋" w:cs="仿宋"/>
          <w:b/>
          <w:bCs/>
          <w:sz w:val="32"/>
          <w:szCs w:val="32"/>
        </w:rPr>
      </w:pPr>
    </w:p>
    <w:p w14:paraId="353483E2">
      <w:pPr>
        <w:adjustRightInd w:val="0"/>
        <w:snapToGrid w:val="0"/>
        <w:spacing w:after="0" w:line="580" w:lineRule="exact"/>
        <w:ind w:left="420" w:leftChars="200"/>
        <w:rPr>
          <w:rFonts w:ascii="仿宋" w:hAnsi="仿宋" w:eastAsia="仿宋" w:cs="仿宋"/>
          <w:sz w:val="32"/>
          <w:szCs w:val="32"/>
          <w:highlight w:val="yellow"/>
        </w:rPr>
      </w:pPr>
      <w:r>
        <w:pict>
          <v:group id="_x0000_s1059" o:spid="_x0000_s1059"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60"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61"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736F18FD">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6E5C8FC">
                    <w:pPr>
                      <w:jc w:val="center"/>
                    </w:pPr>
                  </w:p>
                </w:txbxContent>
              </v:textbox>
            </v:rect>
            <w10:anchorlock/>
          </v:group>
        </w:pict>
      </w:r>
      <w:r>
        <w:rPr>
          <w:rFonts w:hint="eastAsia" w:ascii="仿宋" w:hAnsi="仿宋" w:eastAsia="仿宋" w:cs="仿宋"/>
          <w:b/>
          <w:bCs/>
          <w:sz w:val="32"/>
          <w:szCs w:val="32"/>
        </w:rPr>
        <w:t>（四）一般公共预算财政拨款基本支出决算情况说明</w:t>
      </w:r>
      <w:r>
        <w:pict>
          <v:group id="_x0000_s1062" o:spid="_x0000_s1062" o:spt="203" style="position:absolute;left:0pt;margin-left:-0.55pt;margin-top:29.3pt;height:43.95pt;width:301.85pt;mso-position-horizontal-relative:page;mso-position-vertical-relative:page;z-index:25168896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63"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4"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7C147774">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59248C20">
                    <w:pPr>
                      <w:jc w:val="center"/>
                    </w:pPr>
                  </w:p>
                </w:txbxContent>
              </v:textbox>
            </v:rect>
            <w10:anchorlock/>
          </v:group>
        </w:pict>
      </w:r>
    </w:p>
    <w:p w14:paraId="076A2AEE">
      <w:pPr>
        <w:adjustRightInd w:val="0"/>
        <w:snapToGrid w:val="0"/>
        <w:spacing w:after="0" w:line="580" w:lineRule="exact"/>
        <w:ind w:firstLine="640" w:firstLineChars="200"/>
        <w:rPr>
          <w:rFonts w:ascii="仿宋" w:hAnsi="仿宋" w:eastAsia="仿宋" w:cs="仿宋"/>
          <w:sz w:val="32"/>
          <w:szCs w:val="32"/>
        </w:rPr>
      </w:pPr>
      <w:r>
        <w:rPr>
          <w:rFonts w:ascii="仿宋" w:hAnsi="仿宋" w:eastAsia="仿宋" w:cs="仿宋"/>
          <w:sz w:val="32"/>
          <w:szCs w:val="32"/>
        </w:rPr>
        <w:t xml:space="preserve">2018 </w:t>
      </w:r>
      <w:r>
        <w:rPr>
          <w:rFonts w:hint="eastAsia" w:ascii="仿宋" w:hAnsi="仿宋" w:eastAsia="仿宋" w:cs="仿宋"/>
          <w:sz w:val="32"/>
          <w:szCs w:val="32"/>
        </w:rPr>
        <w:t>年度一般公共预算财政拨款基本支出</w:t>
      </w:r>
      <w:r>
        <w:rPr>
          <w:rFonts w:ascii="仿宋" w:hAnsi="仿宋" w:eastAsia="仿宋" w:cs="仿宋"/>
          <w:sz w:val="32"/>
          <w:szCs w:val="32"/>
        </w:rPr>
        <w:t>1544.48</w:t>
      </w:r>
      <w:r>
        <w:rPr>
          <w:rFonts w:hint="eastAsia" w:ascii="仿宋" w:hAnsi="仿宋" w:eastAsia="仿宋" w:cs="仿宋"/>
          <w:sz w:val="32"/>
          <w:szCs w:val="32"/>
        </w:rPr>
        <w:t>万元，其中：人员经费</w:t>
      </w:r>
      <w:r>
        <w:rPr>
          <w:rFonts w:ascii="仿宋" w:hAnsi="仿宋" w:eastAsia="仿宋" w:cs="仿宋"/>
          <w:sz w:val="32"/>
          <w:szCs w:val="32"/>
        </w:rPr>
        <w:t xml:space="preserve"> 1242.59</w:t>
      </w:r>
      <w:r>
        <w:rPr>
          <w:rFonts w:hint="eastAsia" w:ascii="仿宋" w:hAnsi="仿宋" w:eastAsia="仿宋" w:cs="仿宋"/>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 w:hAnsi="仿宋" w:eastAsia="仿宋" w:cs="仿宋"/>
          <w:sz w:val="32"/>
          <w:szCs w:val="32"/>
        </w:rPr>
        <w:t xml:space="preserve"> 233.63</w:t>
      </w:r>
      <w:r>
        <w:rPr>
          <w:rFonts w:hint="eastAsia" w:ascii="仿宋" w:hAnsi="仿宋" w:eastAsia="仿宋" w:cs="仿宋"/>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B2603FD">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五、一般公共预算财政拨款“三公”</w:t>
      </w:r>
      <w:r>
        <w:rPr>
          <w:rFonts w:ascii="仿宋" w:hAnsi="仿宋" w:eastAsia="仿宋" w:cs="仿宋"/>
          <w:b w:val="0"/>
          <w:bCs w:val="0"/>
        </w:rPr>
        <w:t xml:space="preserve"> </w:t>
      </w:r>
      <w:r>
        <w:rPr>
          <w:rFonts w:hint="eastAsia" w:ascii="仿宋" w:hAnsi="仿宋" w:eastAsia="仿宋" w:cs="仿宋"/>
          <w:b w:val="0"/>
          <w:bCs w:val="0"/>
        </w:rPr>
        <w:t>经费支出决算情况说明</w:t>
      </w:r>
    </w:p>
    <w:p w14:paraId="036A7CD9">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w:t>
      </w:r>
      <w:r>
        <w:rPr>
          <w:rFonts w:ascii="仿宋" w:hAnsi="仿宋" w:eastAsia="仿宋" w:cs="仿宋"/>
          <w:sz w:val="32"/>
          <w:szCs w:val="32"/>
        </w:rPr>
        <w:t xml:space="preserve"> </w:t>
      </w:r>
      <w:r>
        <w:rPr>
          <w:rFonts w:hint="eastAsia" w:ascii="仿宋" w:hAnsi="仿宋" w:eastAsia="仿宋" w:cs="仿宋"/>
          <w:sz w:val="32"/>
          <w:szCs w:val="32"/>
        </w:rPr>
        <w:t>“三公”经费支出共计</w:t>
      </w:r>
      <w:r>
        <w:rPr>
          <w:rFonts w:ascii="仿宋" w:hAnsi="仿宋" w:eastAsia="仿宋" w:cs="仿宋"/>
          <w:sz w:val="32"/>
          <w:szCs w:val="32"/>
        </w:rPr>
        <w:t>25.39</w:t>
      </w:r>
      <w:r>
        <w:rPr>
          <w:rFonts w:hint="eastAsia" w:ascii="仿宋" w:hAnsi="仿宋" w:eastAsia="仿宋" w:cs="仿宋"/>
          <w:sz w:val="32"/>
          <w:szCs w:val="32"/>
        </w:rPr>
        <w:t>万元，</w:t>
      </w:r>
      <w:r>
        <w:rPr>
          <w:rFonts w:hint="eastAsia" w:ascii="仿宋" w:hAnsi="仿宋" w:eastAsia="仿宋" w:cs="仿宋"/>
          <w:b/>
          <w:bCs/>
          <w:sz w:val="32"/>
          <w:szCs w:val="32"/>
        </w:rPr>
        <w:t>较年初预算减少</w:t>
      </w:r>
      <w:r>
        <w:rPr>
          <w:rFonts w:ascii="仿宋" w:hAnsi="仿宋" w:eastAsia="仿宋" w:cs="仿宋"/>
          <w:b/>
          <w:bCs/>
          <w:sz w:val="32"/>
          <w:szCs w:val="32"/>
        </w:rPr>
        <w:t>6.59</w:t>
      </w:r>
      <w:r>
        <w:rPr>
          <w:rFonts w:hint="eastAsia" w:ascii="仿宋" w:hAnsi="仿宋" w:eastAsia="仿宋" w:cs="仿宋"/>
          <w:b/>
          <w:bCs/>
          <w:sz w:val="32"/>
          <w:szCs w:val="32"/>
        </w:rPr>
        <w:t>万元，降低</w:t>
      </w:r>
      <w:r>
        <w:rPr>
          <w:rFonts w:ascii="仿宋" w:hAnsi="仿宋" w:eastAsia="仿宋" w:cs="仿宋"/>
          <w:b/>
          <w:bCs/>
          <w:sz w:val="32"/>
          <w:szCs w:val="32"/>
        </w:rPr>
        <w:t>20.61%</w:t>
      </w:r>
      <w:r>
        <w:rPr>
          <w:rFonts w:hint="eastAsia" w:ascii="仿宋" w:hAnsi="仿宋" w:eastAsia="仿宋" w:cs="仿宋"/>
          <w:b/>
          <w:bCs/>
          <w:sz w:val="32"/>
          <w:szCs w:val="32"/>
        </w:rPr>
        <w:t>，</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精神和厉行节约要求，从严控制“三公”经费开支，全年实际支出比预算有所节约。具体情况如下：</w:t>
      </w:r>
    </w:p>
    <w:p w14:paraId="5942B188">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bCs/>
          <w:sz w:val="32"/>
          <w:szCs w:val="32"/>
        </w:rPr>
        <w:t>（</w:t>
      </w:r>
      <w:r>
        <w:pict>
          <v:group id="_x0000_s1065" o:spid="_x0000_s1065"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66"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3DC3F4C5">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D93629E">
                    <w:pPr>
                      <w:jc w:val="center"/>
                    </w:pPr>
                  </w:p>
                </w:txbxContent>
              </v:textbox>
            </v:rect>
            <w10:anchorlock/>
          </v:group>
        </w:pict>
      </w:r>
      <w:r>
        <w:rPr>
          <w:rFonts w:hint="eastAsia" w:ascii="仿宋" w:hAnsi="仿宋" w:eastAsia="仿宋" w:cs="仿宋"/>
          <w:b/>
          <w:bCs/>
          <w:sz w:val="32"/>
          <w:szCs w:val="32"/>
        </w:rPr>
        <w:t>一）因公出国（境）费支出</w:t>
      </w:r>
      <w:r>
        <w:rPr>
          <w:rFonts w:ascii="仿宋" w:hAnsi="仿宋" w:eastAsia="仿宋" w:cs="仿宋"/>
          <w:b/>
          <w:bCs/>
          <w:sz w:val="32"/>
          <w:szCs w:val="32"/>
        </w:rPr>
        <w:t>0</w:t>
      </w:r>
      <w:r>
        <w:rPr>
          <w:rFonts w:hint="eastAsia" w:ascii="仿宋" w:hAnsi="仿宋" w:eastAsia="仿宋" w:cs="仿宋"/>
          <w:b/>
          <w:bCs/>
          <w:sz w:val="32"/>
          <w:szCs w:val="32"/>
        </w:rPr>
        <w:t>万元。</w: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年度因公出国（境）团组</w:t>
      </w:r>
      <w:r>
        <w:rPr>
          <w:rFonts w:ascii="仿宋" w:hAnsi="仿宋" w:eastAsia="仿宋" w:cs="仿宋"/>
          <w:sz w:val="32"/>
          <w:szCs w:val="32"/>
        </w:rPr>
        <w:t>0</w:t>
      </w:r>
      <w:r>
        <w:rPr>
          <w:rFonts w:hint="eastAsia" w:ascii="仿宋" w:hAnsi="仿宋" w:eastAsia="仿宋" w:cs="仿宋"/>
          <w:sz w:val="32"/>
          <w:szCs w:val="32"/>
        </w:rPr>
        <w:t>个、共</w:t>
      </w:r>
      <w:r>
        <w:rPr>
          <w:rFonts w:ascii="仿宋" w:hAnsi="仿宋" w:eastAsia="仿宋" w:cs="仿宋"/>
          <w:sz w:val="32"/>
          <w:szCs w:val="32"/>
        </w:rPr>
        <w:t>0</w:t>
      </w:r>
      <w:r>
        <w:rPr>
          <w:rFonts w:hint="eastAsia" w:ascii="仿宋" w:hAnsi="仿宋" w:eastAsia="仿宋" w:cs="仿宋"/>
          <w:sz w:val="32"/>
          <w:szCs w:val="32"/>
        </w:rPr>
        <w:t>人</w:t>
      </w:r>
      <w:r>
        <w:rPr>
          <w:rFonts w:ascii="仿宋" w:hAnsi="仿宋" w:eastAsia="仿宋" w:cs="仿宋"/>
          <w:sz w:val="32"/>
          <w:szCs w:val="32"/>
        </w:rPr>
        <w:t>/</w:t>
      </w:r>
      <w:r>
        <w:rPr>
          <w:rFonts w:hint="eastAsia" w:ascii="仿宋" w:hAnsi="仿宋" w:eastAsia="仿宋" w:cs="仿宋"/>
          <w:sz w:val="32"/>
          <w:szCs w:val="32"/>
        </w:rPr>
        <w:t>参加其他单位组织的因公出国（境）团组</w:t>
      </w:r>
      <w:r>
        <w:rPr>
          <w:rFonts w:ascii="仿宋" w:hAnsi="仿宋" w:eastAsia="仿宋" w:cs="仿宋"/>
          <w:sz w:val="32"/>
          <w:szCs w:val="32"/>
        </w:rPr>
        <w:t>0</w:t>
      </w:r>
      <w:r>
        <w:rPr>
          <w:rFonts w:hint="eastAsia" w:ascii="仿宋" w:hAnsi="仿宋" w:eastAsia="仿宋" w:cs="仿宋"/>
          <w:sz w:val="32"/>
          <w:szCs w:val="32"/>
        </w:rPr>
        <w:t>个、共</w:t>
      </w:r>
      <w:r>
        <w:rPr>
          <w:rFonts w:ascii="仿宋" w:hAnsi="仿宋" w:eastAsia="仿宋" w:cs="仿宋"/>
          <w:sz w:val="32"/>
          <w:szCs w:val="32"/>
        </w:rPr>
        <w:t>0</w:t>
      </w:r>
      <w:r>
        <w:rPr>
          <w:rFonts w:hint="eastAsia" w:ascii="仿宋" w:hAnsi="仿宋" w:eastAsia="仿宋" w:cs="仿宋"/>
          <w:sz w:val="32"/>
          <w:szCs w:val="32"/>
        </w:rPr>
        <w:t>人</w:t>
      </w:r>
      <w:r>
        <w:rPr>
          <w:rFonts w:ascii="仿宋" w:hAnsi="仿宋" w:eastAsia="仿宋" w:cs="仿宋"/>
          <w:sz w:val="32"/>
          <w:szCs w:val="32"/>
        </w:rPr>
        <w:t>/</w:t>
      </w:r>
      <w:r>
        <w:rPr>
          <w:rFonts w:hint="eastAsia" w:ascii="仿宋" w:hAnsi="仿宋" w:eastAsia="仿宋" w:cs="仿宋"/>
          <w:sz w:val="32"/>
          <w:szCs w:val="32"/>
        </w:rPr>
        <w:t>无本单位组织的出国（境）团组。因公出国（境）费支出较年初预算持平</w:t>
      </w:r>
      <w:r>
        <w:rPr>
          <w:rFonts w:ascii="仿宋" w:hAnsi="仿宋" w:eastAsia="仿宋" w:cs="仿宋"/>
          <w:sz w:val="32"/>
          <w:szCs w:val="32"/>
        </w:rPr>
        <w:t>,</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w:t>
      </w:r>
    </w:p>
    <w:p w14:paraId="62E05A13">
      <w:pPr>
        <w:adjustRightInd w:val="0"/>
        <w:snapToGrid w:val="0"/>
        <w:spacing w:after="0"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（二）公务用车购置及运行维护费支出</w:t>
      </w:r>
      <w:r>
        <w:rPr>
          <w:rFonts w:ascii="仿宋" w:hAnsi="仿宋" w:eastAsia="仿宋" w:cs="仿宋"/>
          <w:b/>
          <w:bCs/>
          <w:sz w:val="32"/>
          <w:szCs w:val="32"/>
        </w:rPr>
        <w:t>25.39</w:t>
      </w:r>
      <w:r>
        <w:rPr>
          <w:rFonts w:hint="eastAsia" w:ascii="仿宋" w:hAnsi="仿宋" w:eastAsia="仿宋" w:cs="仿宋"/>
          <w:b/>
          <w:bCs/>
          <w:sz w:val="32"/>
          <w:szCs w:val="32"/>
        </w:rPr>
        <w:t>万元。</w: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年度公务用车购置及运行维护费较年初预算减少</w:t>
      </w:r>
      <w:r>
        <w:rPr>
          <w:rFonts w:ascii="仿宋" w:hAnsi="仿宋" w:eastAsia="仿宋" w:cs="仿宋"/>
          <w:sz w:val="32"/>
          <w:szCs w:val="32"/>
        </w:rPr>
        <w:t>6.49</w:t>
      </w:r>
      <w:r>
        <w:rPr>
          <w:rFonts w:hint="eastAsia" w:ascii="仿宋" w:hAnsi="仿宋" w:eastAsia="仿宋" w:cs="仿宋"/>
          <w:sz w:val="32"/>
          <w:szCs w:val="32"/>
        </w:rPr>
        <w:t>万元，降低</w:t>
      </w:r>
      <w:r>
        <w:rPr>
          <w:rFonts w:ascii="仿宋" w:hAnsi="仿宋" w:eastAsia="仿宋" w:cs="仿宋"/>
          <w:sz w:val="32"/>
          <w:szCs w:val="32"/>
        </w:rPr>
        <w:t>20.36%,</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w:t>
      </w:r>
      <w:r>
        <w:rPr>
          <w:rFonts w:hint="eastAsia" w:ascii="仿宋" w:hAnsi="仿宋" w:eastAsia="仿宋" w:cs="仿宋"/>
          <w:b/>
          <w:bCs/>
          <w:sz w:val="32"/>
          <w:szCs w:val="32"/>
        </w:rPr>
        <w:t>其中：</w:t>
      </w:r>
    </w:p>
    <w:p w14:paraId="3277418F">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公务用车购置费：</w: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年度公务用车购置量</w:t>
      </w:r>
      <w:r>
        <w:rPr>
          <w:rFonts w:ascii="仿宋" w:hAnsi="仿宋" w:eastAsia="仿宋" w:cs="仿宋"/>
          <w:sz w:val="32"/>
          <w:szCs w:val="32"/>
        </w:rPr>
        <w:t>0</w:t>
      </w:r>
      <w:r>
        <w:rPr>
          <w:rFonts w:hint="eastAsia" w:ascii="仿宋" w:hAnsi="仿宋" w:eastAsia="仿宋" w:cs="仿宋"/>
          <w:sz w:val="32"/>
          <w:szCs w:val="32"/>
        </w:rPr>
        <w:t>辆，未发生“公务用车购置”经费支出。公务用车购置费支出较年初预算持平</w:t>
      </w:r>
      <w:r>
        <w:rPr>
          <w:rFonts w:ascii="仿宋" w:hAnsi="仿宋" w:eastAsia="仿宋" w:cs="仿宋"/>
          <w:sz w:val="32"/>
          <w:szCs w:val="32"/>
        </w:rPr>
        <w:t>,</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w:t>
      </w:r>
    </w:p>
    <w:p w14:paraId="1AFE9066">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sz w:val="32"/>
          <w:szCs w:val="32"/>
        </w:rPr>
        <w:t>公务用车运行维护费：</w: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年度单位公务用车保有量</w:t>
      </w:r>
      <w:r>
        <w:rPr>
          <w:rFonts w:ascii="仿宋" w:hAnsi="仿宋" w:eastAsia="仿宋" w:cs="仿宋"/>
          <w:sz w:val="32"/>
          <w:szCs w:val="32"/>
        </w:rPr>
        <w:t>18</w:t>
      </w:r>
      <w:r>
        <w:rPr>
          <w:rFonts w:hint="eastAsia" w:ascii="仿宋" w:hAnsi="仿宋" w:eastAsia="仿宋" w:cs="仿宋"/>
          <w:sz w:val="32"/>
          <w:szCs w:val="32"/>
        </w:rPr>
        <w:t>辆。公车运行维护费支出较年初预算减少</w:t>
      </w:r>
      <w:r>
        <w:rPr>
          <w:rFonts w:ascii="仿宋" w:hAnsi="仿宋" w:eastAsia="仿宋" w:cs="仿宋"/>
          <w:sz w:val="32"/>
          <w:szCs w:val="32"/>
        </w:rPr>
        <w:t>6.49</w:t>
      </w:r>
      <w:r>
        <w:rPr>
          <w:rFonts w:hint="eastAsia" w:ascii="仿宋" w:hAnsi="仿宋" w:eastAsia="仿宋" w:cs="仿宋"/>
          <w:sz w:val="32"/>
          <w:szCs w:val="32"/>
        </w:rPr>
        <w:t>万元，减少</w:t>
      </w:r>
      <w:r>
        <w:rPr>
          <w:rFonts w:ascii="仿宋" w:hAnsi="仿宋" w:eastAsia="仿宋" w:cs="仿宋"/>
          <w:sz w:val="32"/>
          <w:szCs w:val="32"/>
        </w:rPr>
        <w:t>20.36%,</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w:t>
      </w:r>
    </w:p>
    <w:p w14:paraId="3210AD95">
      <w:pPr>
        <w:adjustRightInd w:val="0"/>
        <w:snapToGrid w:val="0"/>
        <w:spacing w:after="0" w:line="580" w:lineRule="exact"/>
        <w:ind w:firstLine="643" w:firstLineChars="200"/>
        <w:rPr>
          <w:rFonts w:ascii="仿宋" w:hAnsi="仿宋" w:eastAsia="仿宋" w:cs="仿宋"/>
          <w:sz w:val="32"/>
          <w:szCs w:val="32"/>
        </w:rPr>
      </w:pPr>
      <w:r>
        <w:rPr>
          <w:rFonts w:hint="eastAsia" w:ascii="仿宋" w:hAnsi="仿宋" w:eastAsia="仿宋" w:cs="仿宋"/>
          <w:b/>
          <w:bCs/>
          <w:sz w:val="32"/>
          <w:szCs w:val="32"/>
        </w:rPr>
        <w:t>（三）公务接待费支出</w:t>
      </w:r>
      <w:r>
        <w:rPr>
          <w:rFonts w:ascii="仿宋" w:hAnsi="仿宋" w:eastAsia="仿宋" w:cs="仿宋"/>
          <w:b/>
          <w:bCs/>
          <w:sz w:val="32"/>
          <w:szCs w:val="32"/>
        </w:rPr>
        <w:t>0</w:t>
      </w:r>
      <w:r>
        <w:rPr>
          <w:rFonts w:hint="eastAsia" w:ascii="仿宋" w:hAnsi="仿宋" w:eastAsia="仿宋" w:cs="仿宋"/>
          <w:b/>
          <w:bCs/>
          <w:sz w:val="32"/>
          <w:szCs w:val="32"/>
        </w:rPr>
        <w:t>万元。</w:t>
      </w:r>
      <w:r>
        <w:pict>
          <v:group id="_x0000_s1068" o:spid="_x0000_s1068" o:spt="203" style="position:absolute;left:0pt;margin-left:-0.55pt;margin-top:29.3pt;height:43.95pt;width:301.85pt;mso-position-horizontal-relative:page;mso-position-vertical-relative:page;z-index:25168281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69"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0"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52014227">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964253B">
                    <w:pPr>
                      <w:jc w:val="center"/>
                    </w:pPr>
                  </w:p>
                </w:txbxContent>
              </v:textbox>
            </v:rect>
            <w10:anchorlock/>
          </v:group>
        </w:pic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年度公务接待未发生。公务接待费支出较年初预算减</w:t>
      </w:r>
      <w:r>
        <w:rPr>
          <w:rFonts w:ascii="仿宋" w:hAnsi="仿宋" w:eastAsia="仿宋" w:cs="仿宋"/>
          <w:sz w:val="32"/>
          <w:szCs w:val="32"/>
        </w:rPr>
        <w:t>0.1</w:t>
      </w:r>
      <w:r>
        <w:rPr>
          <w:rFonts w:hint="eastAsia" w:ascii="仿宋" w:hAnsi="仿宋" w:eastAsia="仿宋" w:cs="仿宋"/>
          <w:sz w:val="32"/>
          <w:szCs w:val="32"/>
        </w:rPr>
        <w:t>万元，降低</w:t>
      </w:r>
      <w:r>
        <w:rPr>
          <w:rFonts w:ascii="仿宋" w:hAnsi="仿宋" w:eastAsia="仿宋" w:cs="仿宋"/>
          <w:sz w:val="32"/>
          <w:szCs w:val="32"/>
        </w:rPr>
        <w:t>100%,</w:t>
      </w:r>
      <w:r>
        <w:rPr>
          <w:rFonts w:hint="eastAsia" w:ascii="仿宋" w:hAnsi="仿宋" w:eastAsia="仿宋" w:cs="仿宋"/>
          <w:sz w:val="32"/>
          <w:szCs w:val="32"/>
        </w:rPr>
        <w:t>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w:t>
      </w:r>
    </w:p>
    <w:p w14:paraId="61BA2E05">
      <w:pPr>
        <w:pStyle w:val="3"/>
        <w:spacing w:before="0" w:after="0" w:line="500" w:lineRule="exact"/>
        <w:ind w:firstLine="643" w:firstLineChars="200"/>
        <w:rPr>
          <w:rFonts w:ascii="仿宋" w:hAnsi="仿宋" w:eastAsia="仿宋" w:cs="仿宋"/>
          <w:shd w:val="pct10" w:color="auto" w:fill="auto"/>
        </w:rPr>
      </w:pPr>
      <w:r>
        <w:rPr>
          <w:rFonts w:hint="eastAsia" w:ascii="仿宋" w:hAnsi="仿宋" w:eastAsia="仿宋" w:cs="仿宋"/>
        </w:rPr>
        <w:t>六、</w:t>
      </w:r>
      <w:r>
        <w:rPr>
          <w:rFonts w:hint="eastAsia" w:ascii="仿宋" w:hAnsi="仿宋" w:eastAsia="仿宋" w:cs="仿宋"/>
          <w:shd w:val="pct10" w:color="auto" w:fill="auto"/>
        </w:rPr>
        <w:t>绩效预算情况说明</w:t>
      </w:r>
    </w:p>
    <w:p w14:paraId="565DDC16">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（一）绩效管理工作开展情况。根据《关于开展</w:t>
      </w:r>
      <w:r>
        <w:rPr>
          <w:rFonts w:ascii="仿宋" w:hAnsi="仿宋" w:eastAsia="仿宋" w:cs="仿宋"/>
          <w:sz w:val="32"/>
          <w:szCs w:val="32"/>
        </w:rPr>
        <w:t>2018</w:t>
      </w:r>
      <w:r>
        <w:rPr>
          <w:rFonts w:hint="eastAsia" w:ascii="仿宋" w:hAnsi="仿宋" w:eastAsia="仿宋" w:cs="仿宋"/>
          <w:sz w:val="32"/>
          <w:szCs w:val="32"/>
        </w:rPr>
        <w:t>年度财政专项资金部门绩效自评价工作的通知》（石财绩</w:t>
      </w:r>
      <w:r>
        <w:rPr>
          <w:rFonts w:ascii="仿宋" w:hAnsi="仿宋" w:eastAsia="仿宋" w:cs="仿宋"/>
          <w:sz w:val="32"/>
          <w:szCs w:val="32"/>
        </w:rPr>
        <w:t>[2019]1</w:t>
      </w:r>
      <w:r>
        <w:rPr>
          <w:rFonts w:hint="eastAsia" w:ascii="仿宋" w:hAnsi="仿宋" w:eastAsia="仿宋" w:cs="仿宋"/>
          <w:sz w:val="32"/>
          <w:szCs w:val="32"/>
        </w:rPr>
        <w:t>号），本单位认真开展了预算绩效管理改革开展情况自查，对部门全面规范绩效预算编制、严格预算执行管理、推进绩效评价工作、推进预决算信息公开等方面进行了自评，考核结果为优秀。</w:t>
      </w:r>
    </w:p>
    <w:p w14:paraId="133B4CDF">
      <w:pPr>
        <w:adjustRightInd w:val="0"/>
        <w:snapToGrid w:val="0"/>
        <w:spacing w:after="0" w:line="500" w:lineRule="exact"/>
        <w:ind w:firstLine="640" w:firstLineChars="200"/>
        <w:rPr>
          <w:rFonts w:ascii="仿宋" w:hAnsi="仿宋" w:eastAsia="仿宋" w:cs="仿宋"/>
          <w:sz w:val="32"/>
          <w:szCs w:val="32"/>
          <w:shd w:val="clear" w:color="FFFFFF" w:fill="auto"/>
        </w:rPr>
      </w:pPr>
      <w:r>
        <w:rPr>
          <w:rFonts w:hint="eastAsia" w:ascii="仿宋" w:hAnsi="仿宋" w:eastAsia="仿宋" w:cs="仿宋"/>
          <w:sz w:val="32"/>
          <w:szCs w:val="32"/>
          <w:shd w:val="clear" w:color="FFFFFF" w:fill="auto"/>
        </w:rPr>
        <w:t>（二）预算项目绩效评价开展情况。根据预算绩效管理要求，本单位组织对</w:t>
      </w:r>
      <w:r>
        <w:rPr>
          <w:rFonts w:ascii="仿宋" w:hAnsi="仿宋" w:eastAsia="仿宋" w:cs="仿宋"/>
          <w:sz w:val="32"/>
          <w:szCs w:val="32"/>
          <w:shd w:val="clear" w:color="FFFFFF" w:fill="auto"/>
        </w:rPr>
        <w:t>2017</w:t>
      </w:r>
      <w:r>
        <w:rPr>
          <w:rFonts w:hint="eastAsia" w:ascii="仿宋" w:hAnsi="仿宋" w:eastAsia="仿宋" w:cs="仿宋"/>
          <w:sz w:val="32"/>
          <w:szCs w:val="32"/>
          <w:shd w:val="clear" w:color="FFFFFF" w:fill="auto"/>
        </w:rPr>
        <w:t>年度一般公共预算项目支出全面开展绩效自评，涉及农村公路燃油税项目、省级道路场站建设及事业发展专项资金等</w:t>
      </w:r>
      <w:r>
        <w:rPr>
          <w:rFonts w:ascii="仿宋" w:hAnsi="仿宋" w:eastAsia="仿宋" w:cs="仿宋"/>
          <w:sz w:val="32"/>
          <w:szCs w:val="32"/>
          <w:shd w:val="clear" w:color="FFFFFF" w:fill="auto"/>
        </w:rPr>
        <w:t>2</w:t>
      </w:r>
      <w:r>
        <w:rPr>
          <w:rFonts w:hint="eastAsia" w:ascii="仿宋" w:hAnsi="仿宋" w:eastAsia="仿宋" w:cs="仿宋"/>
          <w:sz w:val="32"/>
          <w:szCs w:val="32"/>
          <w:shd w:val="clear" w:color="FFFFFF" w:fill="auto"/>
        </w:rPr>
        <w:t>个项目，涉及资金</w:t>
      </w:r>
      <w:r>
        <w:rPr>
          <w:rFonts w:ascii="仿宋" w:hAnsi="仿宋" w:eastAsia="仿宋" w:cs="仿宋"/>
          <w:sz w:val="32"/>
          <w:szCs w:val="32"/>
          <w:shd w:val="clear" w:color="FFFFFF" w:fill="auto"/>
        </w:rPr>
        <w:t>126.4</w:t>
      </w:r>
      <w:r>
        <w:rPr>
          <w:rFonts w:hint="eastAsia" w:ascii="仿宋" w:hAnsi="仿宋" w:eastAsia="仿宋" w:cs="仿宋"/>
          <w:sz w:val="32"/>
          <w:szCs w:val="32"/>
          <w:shd w:val="clear" w:color="FFFFFF" w:fill="auto"/>
        </w:rPr>
        <w:t>万元。从评价情况看，评价结果为优秀的项目有</w:t>
      </w:r>
      <w:r>
        <w:rPr>
          <w:rFonts w:ascii="仿宋" w:hAnsi="仿宋" w:eastAsia="仿宋" w:cs="仿宋"/>
          <w:sz w:val="32"/>
          <w:szCs w:val="32"/>
          <w:shd w:val="clear" w:color="FFFFFF" w:fill="auto"/>
        </w:rPr>
        <w:t>2</w:t>
      </w:r>
      <w:r>
        <w:rPr>
          <w:rFonts w:hint="eastAsia" w:ascii="仿宋" w:hAnsi="仿宋" w:eastAsia="仿宋" w:cs="仿宋"/>
          <w:sz w:val="32"/>
          <w:szCs w:val="32"/>
          <w:shd w:val="clear" w:color="FFFFFF" w:fill="auto"/>
        </w:rPr>
        <w:t>个。</w:t>
      </w:r>
    </w:p>
    <w:p w14:paraId="0C7DF65A">
      <w:pPr>
        <w:adjustRightInd w:val="0"/>
        <w:snapToGrid w:val="0"/>
        <w:spacing w:after="0" w:line="500" w:lineRule="exact"/>
        <w:ind w:firstLine="640" w:firstLineChars="200"/>
        <w:rPr>
          <w:rFonts w:ascii="仿宋" w:hAnsi="仿宋" w:eastAsia="仿宋" w:cs="仿宋"/>
          <w:sz w:val="32"/>
          <w:szCs w:val="32"/>
          <w:shd w:val="clear" w:color="FFFFFF" w:fill="auto"/>
        </w:rPr>
      </w:pPr>
      <w:r>
        <w:rPr>
          <w:rFonts w:hint="eastAsia" w:ascii="仿宋" w:hAnsi="仿宋" w:eastAsia="仿宋" w:cs="仿宋"/>
          <w:sz w:val="32"/>
          <w:szCs w:val="32"/>
          <w:shd w:val="clear" w:color="FFFFFF" w:fill="auto"/>
        </w:rPr>
        <w:t>（三）预算项目绩效评价选例。本单位省补燃油税项目项目绩效自评：根据年初设定的绩效目标，省补燃油税项目项目绩效自评结果为优秀。项目全年预算数为</w:t>
      </w:r>
      <w:r>
        <w:rPr>
          <w:rFonts w:ascii="仿宋" w:hAnsi="仿宋" w:eastAsia="仿宋" w:cs="仿宋"/>
          <w:sz w:val="32"/>
          <w:szCs w:val="32"/>
          <w:shd w:val="clear" w:color="FFFFFF" w:fill="auto"/>
        </w:rPr>
        <w:t>101</w:t>
      </w:r>
      <w:r>
        <w:rPr>
          <w:rFonts w:hint="eastAsia" w:ascii="仿宋" w:hAnsi="仿宋" w:eastAsia="仿宋" w:cs="仿宋"/>
          <w:sz w:val="32"/>
          <w:szCs w:val="32"/>
          <w:shd w:val="clear" w:color="FFFFFF" w:fill="auto"/>
        </w:rPr>
        <w:t>万元，执行数为</w:t>
      </w:r>
      <w:r>
        <w:rPr>
          <w:rFonts w:ascii="仿宋" w:hAnsi="仿宋" w:eastAsia="仿宋" w:cs="仿宋"/>
          <w:sz w:val="32"/>
          <w:szCs w:val="32"/>
          <w:shd w:val="clear" w:color="FFFFFF" w:fill="auto"/>
        </w:rPr>
        <w:t>101</w:t>
      </w:r>
      <w:r>
        <w:rPr>
          <w:rFonts w:hint="eastAsia" w:ascii="仿宋" w:hAnsi="仿宋" w:eastAsia="仿宋" w:cs="仿宋"/>
          <w:sz w:val="32"/>
          <w:szCs w:val="32"/>
          <w:shd w:val="clear" w:color="FFFFFF" w:fill="auto"/>
        </w:rPr>
        <w:t>万元，完成预算的</w:t>
      </w:r>
      <w:r>
        <w:rPr>
          <w:rFonts w:ascii="仿宋" w:hAnsi="仿宋" w:eastAsia="仿宋" w:cs="仿宋"/>
          <w:sz w:val="32"/>
          <w:szCs w:val="32"/>
          <w:shd w:val="clear" w:color="FFFFFF" w:fill="auto"/>
        </w:rPr>
        <w:t>100%</w:t>
      </w:r>
      <w:r>
        <w:rPr>
          <w:rFonts w:hint="eastAsia" w:ascii="仿宋" w:hAnsi="仿宋" w:eastAsia="仿宋" w:cs="仿宋"/>
          <w:sz w:val="32"/>
          <w:szCs w:val="32"/>
          <w:shd w:val="clear" w:color="FFFFFF" w:fill="auto"/>
        </w:rPr>
        <w:t>。主要产出和效果是该项目经验收均为合格工程，解决了群众出行难的问题，加快了各乡镇经济建设，得到群众的一致好评，满意度达到</w:t>
      </w:r>
      <w:r>
        <w:rPr>
          <w:rFonts w:ascii="仿宋" w:hAnsi="仿宋" w:eastAsia="仿宋" w:cs="仿宋"/>
          <w:sz w:val="32"/>
          <w:szCs w:val="32"/>
          <w:shd w:val="clear" w:color="FFFFFF" w:fill="auto"/>
        </w:rPr>
        <w:t>99%</w:t>
      </w:r>
      <w:r>
        <w:rPr>
          <w:rFonts w:hint="eastAsia" w:ascii="仿宋" w:hAnsi="仿宋" w:eastAsia="仿宋" w:cs="仿宋"/>
          <w:sz w:val="32"/>
          <w:szCs w:val="32"/>
          <w:shd w:val="clear" w:color="FFFFFF" w:fill="auto"/>
        </w:rPr>
        <w:t>。评分达到了</w:t>
      </w:r>
      <w:r>
        <w:rPr>
          <w:rFonts w:ascii="仿宋" w:hAnsi="仿宋" w:eastAsia="仿宋" w:cs="仿宋"/>
          <w:sz w:val="32"/>
          <w:szCs w:val="32"/>
          <w:shd w:val="clear" w:color="FFFFFF" w:fill="auto"/>
        </w:rPr>
        <w:t>98</w:t>
      </w:r>
      <w:r>
        <w:rPr>
          <w:rFonts w:hint="eastAsia" w:ascii="仿宋" w:hAnsi="仿宋" w:eastAsia="仿宋" w:cs="仿宋"/>
          <w:sz w:val="32"/>
          <w:szCs w:val="32"/>
          <w:shd w:val="clear" w:color="FFFFFF" w:fill="auto"/>
        </w:rPr>
        <w:t>分，评价结果为优。下一步，严格风险管控，建立健全绩效管理制度，吸引专业人员参与项目的监督管理，健全验收后的管护机制。</w:t>
      </w:r>
    </w:p>
    <w:p w14:paraId="6AE63433">
      <w:pPr>
        <w:pStyle w:val="3"/>
        <w:spacing w:before="0" w:after="0" w:line="580" w:lineRule="exact"/>
        <w:ind w:firstLine="640" w:firstLineChars="200"/>
        <w:rPr>
          <w:rFonts w:ascii="仿宋" w:hAnsi="仿宋" w:eastAsia="仿宋" w:cs="仿宋"/>
          <w:b w:val="0"/>
          <w:bCs w:val="0"/>
        </w:rPr>
      </w:pPr>
      <w:r>
        <w:rPr>
          <w:rFonts w:hint="eastAsia" w:ascii="仿宋" w:hAnsi="仿宋" w:eastAsia="仿宋" w:cs="仿宋"/>
          <w:b w:val="0"/>
          <w:bCs w:val="0"/>
        </w:rPr>
        <w:t>七、其他重要事项的说明</w:t>
      </w:r>
    </w:p>
    <w:p w14:paraId="1CD40B0C">
      <w:pPr>
        <w:pStyle w:val="4"/>
        <w:spacing w:before="0" w:after="0" w:line="580" w:lineRule="exact"/>
        <w:ind w:firstLine="643" w:firstLineChars="200"/>
        <w:rPr>
          <w:rFonts w:ascii="仿宋" w:hAnsi="仿宋" w:eastAsia="仿宋" w:cs="仿宋"/>
        </w:rPr>
      </w:pPr>
      <w:r>
        <w:rPr>
          <w:rFonts w:hint="eastAsia" w:ascii="仿宋" w:hAnsi="仿宋" w:eastAsia="仿宋" w:cs="仿宋"/>
        </w:rPr>
        <w:t>（一）机关运行经费情况</w:t>
      </w:r>
    </w:p>
    <w:p w14:paraId="610407B1">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年度机关运行经费支出</w:t>
      </w:r>
      <w:r>
        <w:rPr>
          <w:rFonts w:ascii="仿宋" w:hAnsi="仿宋" w:eastAsia="仿宋" w:cs="仿宋"/>
          <w:sz w:val="32"/>
          <w:szCs w:val="32"/>
        </w:rPr>
        <w:t>233.63</w:t>
      </w:r>
      <w:r>
        <w:rPr>
          <w:rFonts w:hint="eastAsia" w:ascii="仿宋" w:hAnsi="仿宋" w:eastAsia="仿宋" w:cs="仿宋"/>
          <w:sz w:val="32"/>
          <w:szCs w:val="32"/>
        </w:rPr>
        <w:t>万元，比年初预算数增加</w:t>
      </w:r>
      <w:r>
        <w:rPr>
          <w:rFonts w:ascii="仿宋" w:hAnsi="仿宋" w:eastAsia="仿宋" w:cs="仿宋"/>
          <w:sz w:val="32"/>
          <w:szCs w:val="32"/>
        </w:rPr>
        <w:t>164.37</w:t>
      </w:r>
      <w:r>
        <w:rPr>
          <w:rFonts w:hint="eastAsia" w:ascii="仿宋" w:hAnsi="仿宋" w:eastAsia="仿宋" w:cs="仿宋"/>
          <w:sz w:val="32"/>
          <w:szCs w:val="32"/>
        </w:rPr>
        <w:t>万元，增长</w:t>
      </w:r>
      <w:r>
        <w:rPr>
          <w:rFonts w:ascii="仿宋" w:hAnsi="仿宋" w:eastAsia="仿宋" w:cs="仿宋"/>
          <w:sz w:val="32"/>
          <w:szCs w:val="32"/>
        </w:rPr>
        <w:t>237.32%</w:t>
      </w:r>
      <w:r>
        <w:rPr>
          <w:rFonts w:hint="eastAsia" w:ascii="仿宋" w:hAnsi="仿宋" w:eastAsia="仿宋" w:cs="仿宋"/>
          <w:sz w:val="32"/>
          <w:szCs w:val="32"/>
        </w:rPr>
        <w:t>。主要原因是交通运行经费是省交通厅和财政厅以专款的形式下达的，是以项目库的形式来列示的。</w:t>
      </w:r>
    </w:p>
    <w:p w14:paraId="1E61971F">
      <w:pPr>
        <w:pStyle w:val="4"/>
        <w:spacing w:before="0" w:after="0" w:line="580" w:lineRule="exact"/>
        <w:ind w:firstLine="643" w:firstLineChars="200"/>
        <w:rPr>
          <w:rFonts w:ascii="仿宋" w:hAnsi="仿宋" w:eastAsia="仿宋" w:cs="仿宋"/>
        </w:rPr>
      </w:pPr>
      <w:r>
        <w:rPr>
          <w:rFonts w:hint="eastAsia" w:ascii="仿宋" w:hAnsi="仿宋" w:eastAsia="仿宋" w:cs="仿宋"/>
        </w:rPr>
        <w:t>（二）政府采购情况</w:t>
      </w:r>
    </w:p>
    <w:p w14:paraId="51A25C8D">
      <w:pPr>
        <w:widowControl/>
        <w:spacing w:after="0" w:line="58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年度政府采购支出总额</w:t>
      </w:r>
      <w:r>
        <w:rPr>
          <w:rFonts w:ascii="仿宋" w:hAnsi="仿宋" w:eastAsia="仿宋" w:cs="仿宋"/>
          <w:sz w:val="32"/>
          <w:szCs w:val="32"/>
        </w:rPr>
        <w:t>687.40</w:t>
      </w:r>
      <w:r>
        <w:rPr>
          <w:rFonts w:hint="eastAsia" w:ascii="仿宋" w:hAnsi="仿宋" w:eastAsia="仿宋" w:cs="仿宋"/>
          <w:sz w:val="32"/>
          <w:szCs w:val="32"/>
        </w:rPr>
        <w:t>万元，从采购类型来看，</w:t>
      </w:r>
      <w:r>
        <w:rPr>
          <w:rFonts w:hint="eastAsia" w:ascii="仿宋" w:hAnsi="仿宋" w:eastAsia="仿宋" w:cs="仿宋"/>
          <w:color w:val="000000"/>
          <w:kern w:val="0"/>
          <w:sz w:val="32"/>
          <w:szCs w:val="32"/>
        </w:rPr>
        <w:t>政府采购货物支出</w:t>
      </w:r>
      <w:r>
        <w:rPr>
          <w:rFonts w:ascii="仿宋" w:hAnsi="仿宋" w:eastAsia="仿宋" w:cs="仿宋"/>
          <w:color w:val="000000"/>
          <w:kern w:val="0"/>
          <w:sz w:val="32"/>
          <w:szCs w:val="32"/>
        </w:rPr>
        <w:t>0</w:t>
      </w:r>
      <w:r>
        <w:rPr>
          <w:rFonts w:hint="eastAsia" w:ascii="仿宋" w:hAnsi="仿宋" w:eastAsia="仿宋" w:cs="仿宋"/>
          <w:color w:val="000000"/>
          <w:kern w:val="0"/>
          <w:sz w:val="32"/>
          <w:szCs w:val="32"/>
        </w:rPr>
        <w:t>万元、政府采购工程支出</w:t>
      </w:r>
      <w:r>
        <w:rPr>
          <w:rFonts w:ascii="仿宋" w:hAnsi="仿宋" w:eastAsia="仿宋" w:cs="仿宋"/>
          <w:color w:val="000000"/>
          <w:kern w:val="0"/>
          <w:sz w:val="32"/>
          <w:szCs w:val="32"/>
        </w:rPr>
        <w:t>687.40</w:t>
      </w:r>
      <w:r>
        <w:rPr>
          <w:rFonts w:hint="eastAsia" w:ascii="仿宋" w:hAnsi="仿宋" w:eastAsia="仿宋" w:cs="仿宋"/>
          <w:color w:val="000000"/>
          <w:kern w:val="0"/>
          <w:sz w:val="32"/>
          <w:szCs w:val="32"/>
        </w:rPr>
        <w:t>万元、政府采购服务支出</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万元。授予中小企业合同金</w:t>
      </w:r>
      <w:r>
        <w:rPr>
          <w:rFonts w:ascii="仿宋" w:hAnsi="仿宋" w:eastAsia="仿宋" w:cs="仿宋"/>
          <w:color w:val="000000"/>
          <w:kern w:val="0"/>
          <w:sz w:val="32"/>
          <w:szCs w:val="32"/>
        </w:rPr>
        <w:t>687.40</w:t>
      </w:r>
      <w:r>
        <w:rPr>
          <w:rFonts w:hint="eastAsia" w:ascii="仿宋" w:hAnsi="仿宋" w:eastAsia="仿宋" w:cs="仿宋"/>
          <w:color w:val="000000"/>
          <w:kern w:val="0"/>
          <w:sz w:val="32"/>
          <w:szCs w:val="32"/>
        </w:rPr>
        <w:t>万元，占政府采购支出总额的</w:t>
      </w:r>
      <w:r>
        <w:rPr>
          <w:rFonts w:ascii="仿宋" w:hAnsi="仿宋" w:eastAsia="仿宋" w:cs="仿宋"/>
          <w:color w:val="000000"/>
          <w:kern w:val="0"/>
          <w:sz w:val="32"/>
          <w:szCs w:val="32"/>
        </w:rPr>
        <w:t>100%</w:t>
      </w:r>
      <w:r>
        <w:rPr>
          <w:rFonts w:hint="eastAsia" w:ascii="仿宋" w:hAnsi="仿宋" w:eastAsia="仿宋" w:cs="仿宋"/>
          <w:color w:val="000000"/>
          <w:kern w:val="0"/>
          <w:sz w:val="32"/>
          <w:szCs w:val="32"/>
        </w:rPr>
        <w:t>，其中授予小微企业合同金额</w:t>
      </w:r>
      <w:r>
        <w:rPr>
          <w:rFonts w:ascii="仿宋" w:hAnsi="仿宋" w:eastAsia="仿宋" w:cs="仿宋"/>
          <w:color w:val="000000"/>
          <w:kern w:val="0"/>
          <w:sz w:val="32"/>
          <w:szCs w:val="32"/>
        </w:rPr>
        <w:t>0</w:t>
      </w:r>
      <w:r>
        <w:rPr>
          <w:rFonts w:hint="eastAsia" w:ascii="仿宋" w:hAnsi="仿宋" w:eastAsia="仿宋" w:cs="仿宋"/>
          <w:color w:val="000000"/>
          <w:kern w:val="0"/>
          <w:sz w:val="32"/>
          <w:szCs w:val="32"/>
        </w:rPr>
        <w:t>万元，占政府采购支出总额的</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w:t>
      </w:r>
    </w:p>
    <w:p w14:paraId="5F24872A">
      <w:pPr>
        <w:pStyle w:val="4"/>
        <w:spacing w:before="0" w:after="0" w:line="580" w:lineRule="exact"/>
        <w:ind w:firstLine="643" w:firstLineChars="200"/>
        <w:rPr>
          <w:rFonts w:ascii="仿宋" w:hAnsi="仿宋" w:eastAsia="仿宋" w:cs="仿宋"/>
        </w:rPr>
      </w:pPr>
      <w:r>
        <w:rPr>
          <w:rFonts w:hint="eastAsia" w:ascii="仿宋" w:hAnsi="仿宋" w:eastAsia="仿宋" w:cs="仿宋"/>
        </w:rPr>
        <w:t>（三）国有资产占用情况</w:t>
      </w:r>
    </w:p>
    <w:p w14:paraId="262BB234">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截至</w:t>
      </w:r>
      <w:r>
        <w:rPr>
          <w:rFonts w:ascii="仿宋" w:hAnsi="仿宋" w:eastAsia="仿宋" w:cs="仿宋"/>
          <w:sz w:val="32"/>
          <w:szCs w:val="32"/>
        </w:rPr>
        <w:t>2018</w:t>
      </w:r>
      <w:r>
        <w:rPr>
          <w:rFonts w:hint="eastAsia" w:ascii="仿宋" w:hAnsi="仿宋" w:eastAsia="仿宋" w:cs="仿宋"/>
          <w:sz w:val="32"/>
          <w:szCs w:val="32"/>
        </w:rPr>
        <w:t>年</w:t>
      </w:r>
      <w:r>
        <w:rPr>
          <w:rFonts w:ascii="仿宋" w:hAnsi="仿宋" w:eastAsia="仿宋" w:cs="仿宋"/>
          <w:sz w:val="32"/>
          <w:szCs w:val="32"/>
        </w:rPr>
        <w:t>12</w:t>
      </w:r>
      <w:r>
        <w:rPr>
          <w:rFonts w:hint="eastAsia" w:ascii="仿宋" w:hAnsi="仿宋" w:eastAsia="仿宋" w:cs="仿宋"/>
          <w:sz w:val="32"/>
          <w:szCs w:val="32"/>
        </w:rPr>
        <w:t>月</w:t>
      </w:r>
      <w:r>
        <w:rPr>
          <w:rFonts w:ascii="仿宋" w:hAnsi="仿宋" w:eastAsia="仿宋" w:cs="仿宋"/>
          <w:sz w:val="32"/>
          <w:szCs w:val="32"/>
        </w:rPr>
        <w:t>31</w:t>
      </w:r>
      <w:r>
        <w:rPr>
          <w:rFonts w:hint="eastAsia" w:ascii="仿宋" w:hAnsi="仿宋" w:eastAsia="仿宋" w:cs="仿宋"/>
          <w:sz w:val="32"/>
          <w:szCs w:val="32"/>
        </w:rPr>
        <w:t>日，本部门共有车辆</w:t>
      </w:r>
      <w:r>
        <w:rPr>
          <w:rFonts w:ascii="仿宋" w:hAnsi="仿宋" w:eastAsia="仿宋" w:cs="仿宋"/>
          <w:sz w:val="32"/>
          <w:szCs w:val="32"/>
        </w:rPr>
        <w:t>18</w:t>
      </w:r>
      <w:r>
        <w:rPr>
          <w:rFonts w:hint="eastAsia" w:ascii="仿宋" w:hAnsi="仿宋" w:eastAsia="仿宋" w:cs="仿宋"/>
          <w:sz w:val="32"/>
          <w:szCs w:val="32"/>
        </w:rPr>
        <w:t>辆，与上年持平，主要是认真贯彻落实中央</w:t>
      </w:r>
      <w:r>
        <w:rPr>
          <w:rFonts w:hint="eastAsia" w:ascii="仿宋" w:hAnsi="仿宋" w:eastAsia="仿宋" w:cs="仿宋"/>
          <w:sz w:val="32"/>
          <w:szCs w:val="32"/>
          <w:lang w:eastAsia="zh-CN"/>
        </w:rPr>
        <w:t>八项规定</w:t>
      </w:r>
      <w:r>
        <w:rPr>
          <w:rFonts w:hint="eastAsia" w:ascii="仿宋" w:hAnsi="仿宋" w:eastAsia="仿宋" w:cs="仿宋"/>
          <w:sz w:val="32"/>
          <w:szCs w:val="32"/>
        </w:rPr>
        <w:t>精神和厉行节约要求，从严控制“三公”经费开支。其中，副部（省）级及以上领导用车辆，主要领导干部用车</w:t>
      </w:r>
      <w:r>
        <w:rPr>
          <w:rFonts w:ascii="仿宋" w:hAnsi="仿宋" w:eastAsia="仿宋" w:cs="仿宋"/>
          <w:sz w:val="32"/>
          <w:szCs w:val="32"/>
        </w:rPr>
        <w:t>8</w:t>
      </w:r>
      <w:r>
        <w:rPr>
          <w:rFonts w:hint="eastAsia" w:ascii="仿宋" w:hAnsi="仿宋" w:eastAsia="仿宋" w:cs="仿宋"/>
          <w:sz w:val="32"/>
          <w:szCs w:val="32"/>
        </w:rPr>
        <w:t>辆，机要通信用车</w:t>
      </w:r>
      <w:r>
        <w:rPr>
          <w:rFonts w:ascii="仿宋" w:hAnsi="仿宋" w:eastAsia="仿宋" w:cs="仿宋"/>
          <w:sz w:val="32"/>
          <w:szCs w:val="32"/>
        </w:rPr>
        <w:t>0</w:t>
      </w:r>
      <w:r>
        <w:rPr>
          <w:rFonts w:hint="eastAsia" w:ascii="仿宋" w:hAnsi="仿宋" w:eastAsia="仿宋" w:cs="仿宋"/>
          <w:sz w:val="32"/>
          <w:szCs w:val="32"/>
        </w:rPr>
        <w:t>辆，应急保障用车</w:t>
      </w:r>
      <w:r>
        <w:rPr>
          <w:rFonts w:ascii="仿宋" w:hAnsi="仿宋" w:eastAsia="仿宋" w:cs="仿宋"/>
          <w:sz w:val="32"/>
          <w:szCs w:val="32"/>
        </w:rPr>
        <w:t>0</w:t>
      </w:r>
      <w:r>
        <w:rPr>
          <w:rFonts w:hint="eastAsia" w:ascii="仿宋" w:hAnsi="仿宋" w:eastAsia="仿宋" w:cs="仿宋"/>
          <w:sz w:val="32"/>
          <w:szCs w:val="32"/>
        </w:rPr>
        <w:t>辆，执法执勤用车</w:t>
      </w:r>
      <w:r>
        <w:rPr>
          <w:rFonts w:ascii="仿宋" w:hAnsi="仿宋" w:eastAsia="仿宋" w:cs="仿宋"/>
          <w:sz w:val="32"/>
          <w:szCs w:val="32"/>
        </w:rPr>
        <w:t>10</w:t>
      </w:r>
      <w:r>
        <w:rPr>
          <w:rFonts w:hint="eastAsia" w:ascii="仿宋" w:hAnsi="仿宋" w:eastAsia="仿宋" w:cs="仿宋"/>
          <w:sz w:val="32"/>
          <w:szCs w:val="32"/>
        </w:rPr>
        <w:t>辆，特种专业技术用车</w:t>
      </w:r>
      <w:r>
        <w:rPr>
          <w:rFonts w:ascii="仿宋" w:hAnsi="仿宋" w:eastAsia="仿宋" w:cs="仿宋"/>
          <w:sz w:val="32"/>
          <w:szCs w:val="32"/>
        </w:rPr>
        <w:t>0</w:t>
      </w:r>
      <w:r>
        <w:rPr>
          <w:rFonts w:hint="eastAsia" w:ascii="仿宋" w:hAnsi="仿宋" w:eastAsia="仿宋" w:cs="仿宋"/>
          <w:sz w:val="32"/>
          <w:szCs w:val="32"/>
        </w:rPr>
        <w:t>辆，离退休干部用车</w:t>
      </w:r>
      <w:r>
        <w:rPr>
          <w:rFonts w:ascii="仿宋" w:hAnsi="仿宋" w:eastAsia="仿宋" w:cs="仿宋"/>
          <w:sz w:val="32"/>
          <w:szCs w:val="32"/>
        </w:rPr>
        <w:t>0</w:t>
      </w:r>
      <w:r>
        <w:rPr>
          <w:rFonts w:hint="eastAsia" w:ascii="仿宋" w:hAnsi="仿宋" w:eastAsia="仿宋" w:cs="仿宋"/>
          <w:sz w:val="32"/>
          <w:szCs w:val="32"/>
        </w:rPr>
        <w:t>辆，其他用车</w:t>
      </w:r>
      <w:r>
        <w:rPr>
          <w:rFonts w:ascii="仿宋" w:hAnsi="仿宋" w:eastAsia="仿宋" w:cs="仿宋"/>
          <w:sz w:val="32"/>
          <w:szCs w:val="32"/>
        </w:rPr>
        <w:t>0</w:t>
      </w:r>
      <w:r>
        <w:rPr>
          <w:rFonts w:hint="eastAsia" w:ascii="仿宋" w:hAnsi="仿宋" w:eastAsia="仿宋" w:cs="仿宋"/>
          <w:sz w:val="32"/>
          <w:szCs w:val="32"/>
        </w:rPr>
        <w:t>辆；单位价值</w:t>
      </w:r>
      <w:r>
        <w:rPr>
          <w:rFonts w:ascii="仿宋" w:hAnsi="仿宋" w:eastAsia="仿宋" w:cs="仿宋"/>
          <w:sz w:val="32"/>
          <w:szCs w:val="32"/>
        </w:rPr>
        <w:t>50</w:t>
      </w:r>
      <w:r>
        <w:rPr>
          <w:rFonts w:hint="eastAsia" w:ascii="仿宋" w:hAnsi="仿宋" w:eastAsia="仿宋" w:cs="仿宋"/>
          <w:sz w:val="32"/>
          <w:szCs w:val="32"/>
        </w:rPr>
        <w:t>万元以上通用设备</w:t>
      </w:r>
      <w:r>
        <w:rPr>
          <w:rFonts w:ascii="仿宋" w:hAnsi="仿宋" w:eastAsia="仿宋" w:cs="仿宋"/>
          <w:sz w:val="32"/>
          <w:szCs w:val="32"/>
        </w:rPr>
        <w:t>0</w:t>
      </w:r>
      <w:r>
        <w:rPr>
          <w:rFonts w:hint="eastAsia" w:ascii="仿宋" w:hAnsi="仿宋" w:eastAsia="仿宋" w:cs="仿宋"/>
          <w:sz w:val="32"/>
          <w:szCs w:val="32"/>
        </w:rPr>
        <w:t>台（套），比上年增加（减少）</w:t>
      </w:r>
      <w:r>
        <w:rPr>
          <w:rFonts w:ascii="仿宋" w:hAnsi="仿宋" w:eastAsia="仿宋" w:cs="仿宋"/>
          <w:sz w:val="32"/>
          <w:szCs w:val="32"/>
        </w:rPr>
        <w:t>0</w:t>
      </w:r>
      <w:r>
        <w:rPr>
          <w:rFonts w:hint="eastAsia" w:ascii="仿宋" w:hAnsi="仿宋" w:eastAsia="仿宋" w:cs="仿宋"/>
          <w:sz w:val="32"/>
          <w:szCs w:val="32"/>
        </w:rPr>
        <w:t>套</w:t>
      </w:r>
      <w:r>
        <w:rPr>
          <w:rFonts w:ascii="仿宋" w:hAnsi="仿宋" w:eastAsia="仿宋" w:cs="仿宋"/>
          <w:sz w:val="32"/>
          <w:szCs w:val="32"/>
        </w:rPr>
        <w:t xml:space="preserve"> </w:t>
      </w:r>
      <w:r>
        <w:rPr>
          <w:rFonts w:hint="eastAsia" w:ascii="仿宋" w:hAnsi="仿宋" w:eastAsia="仿宋" w:cs="仿宋"/>
          <w:sz w:val="32"/>
          <w:szCs w:val="32"/>
        </w:rPr>
        <w:t>，单位价值</w:t>
      </w:r>
      <w:r>
        <w:rPr>
          <w:rFonts w:ascii="仿宋" w:hAnsi="仿宋" w:eastAsia="仿宋" w:cs="仿宋"/>
          <w:sz w:val="32"/>
          <w:szCs w:val="32"/>
        </w:rPr>
        <w:t>100</w:t>
      </w:r>
      <w:r>
        <w:rPr>
          <w:rFonts w:hint="eastAsia" w:ascii="仿宋" w:hAnsi="仿宋" w:eastAsia="仿宋" w:cs="仿宋"/>
          <w:sz w:val="32"/>
          <w:szCs w:val="32"/>
        </w:rPr>
        <w:t>万元以上专用设备</w:t>
      </w:r>
      <w:r>
        <w:rPr>
          <w:rFonts w:ascii="仿宋" w:hAnsi="仿宋" w:eastAsia="仿宋" w:cs="仿宋"/>
          <w:sz w:val="32"/>
          <w:szCs w:val="32"/>
        </w:rPr>
        <w:t>0</w:t>
      </w:r>
      <w:r>
        <w:rPr>
          <w:rFonts w:hint="eastAsia" w:ascii="仿宋" w:hAnsi="仿宋" w:eastAsia="仿宋" w:cs="仿宋"/>
          <w:sz w:val="32"/>
          <w:szCs w:val="32"/>
        </w:rPr>
        <w:t>台（套）比上年增加（减少）</w:t>
      </w:r>
      <w:r>
        <w:rPr>
          <w:rFonts w:ascii="仿宋" w:hAnsi="仿宋" w:eastAsia="仿宋" w:cs="仿宋"/>
          <w:sz w:val="32"/>
          <w:szCs w:val="32"/>
        </w:rPr>
        <w:t>0</w:t>
      </w:r>
      <w:r>
        <w:rPr>
          <w:rFonts w:hint="eastAsia" w:ascii="仿宋" w:hAnsi="仿宋" w:eastAsia="仿宋" w:cs="仿宋"/>
          <w:sz w:val="32"/>
          <w:szCs w:val="32"/>
        </w:rPr>
        <w:t>套。</w:t>
      </w:r>
    </w:p>
    <w:p w14:paraId="347FBC92">
      <w:pPr>
        <w:pStyle w:val="4"/>
        <w:spacing w:before="0" w:after="0" w:line="580" w:lineRule="exact"/>
        <w:ind w:firstLine="643" w:firstLineChars="200"/>
        <w:rPr>
          <w:rFonts w:ascii="仿宋" w:hAnsi="仿宋" w:eastAsia="仿宋" w:cs="仿宋"/>
        </w:rPr>
      </w:pPr>
      <w:r>
        <w:rPr>
          <w:rFonts w:hint="eastAsia" w:ascii="仿宋" w:hAnsi="仿宋" w:eastAsia="仿宋" w:cs="仿宋"/>
        </w:rPr>
        <w:t>（四）其他需要说明的情况</w:t>
      </w:r>
    </w:p>
    <w:p w14:paraId="41143B64">
      <w:pPr>
        <w:adjustRightInd w:val="0"/>
        <w:snapToGrid w:val="0"/>
        <w:spacing w:after="0" w:line="58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、本部门</w:t>
      </w:r>
      <w:r>
        <w:rPr>
          <w:rFonts w:ascii="仿宋" w:hAnsi="仿宋" w:eastAsia="仿宋" w:cs="仿宋"/>
          <w:sz w:val="32"/>
          <w:szCs w:val="32"/>
        </w:rPr>
        <w:t>2018</w:t>
      </w:r>
      <w:r>
        <w:rPr>
          <w:rFonts w:hint="eastAsia" w:ascii="仿宋" w:hAnsi="仿宋" w:eastAsia="仿宋" w:cs="仿宋"/>
          <w:sz w:val="32"/>
          <w:szCs w:val="32"/>
        </w:rPr>
        <w:t>年国有资本经营预算财政拨款无收支及结转结余情况，故国有资本经营预算财政拨款支出决算表以空表列示。</w:t>
      </w:r>
    </w:p>
    <w:p w14:paraId="079F1EC5">
      <w:pPr>
        <w:adjustRightInd w:val="0"/>
        <w:snapToGrid w:val="0"/>
        <w:spacing w:after="0" w:line="58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、由于决算公开表格中金额数值应当保留两位小数，公开数据为四舍五入计算结</w:t>
      </w:r>
      <w:r>
        <w:pict>
          <v:group id="_x0000_s1071" o:spid="_x0000_s1071"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72"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3"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610ED5E3">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0B2085D">
                    <w:pPr>
                      <w:jc w:val="center"/>
                    </w:pPr>
                  </w:p>
                </w:txbxContent>
              </v:textbox>
            </v:rect>
            <w10:anchorlock/>
          </v:group>
        </w:pict>
      </w:r>
      <w:r>
        <w:rPr>
          <w:rFonts w:hint="eastAsia" w:ascii="仿宋" w:hAnsi="仿宋" w:eastAsia="仿宋" w:cs="仿宋"/>
          <w:sz w:val="32"/>
          <w:szCs w:val="32"/>
        </w:rPr>
        <w:t>果，个别数据合计项与分项之和存在小数点后差额，特此说明。</w:t>
      </w:r>
    </w:p>
    <w:p w14:paraId="4B4E6F95">
      <w:pPr>
        <w:widowControl/>
        <w:spacing w:after="0" w:line="580" w:lineRule="exact"/>
        <w:ind w:firstLine="643" w:firstLineChars="200"/>
        <w:jc w:val="left"/>
        <w:rPr>
          <w:rFonts w:ascii="仿宋" w:hAnsi="仿宋" w:eastAsia="仿宋" w:cs="仿宋"/>
          <w:b/>
          <w:bCs/>
          <w:kern w:val="0"/>
          <w:sz w:val="32"/>
          <w:szCs w:val="32"/>
        </w:rPr>
        <w:sectPr>
          <w:pgSz w:w="11906" w:h="16838"/>
          <w:pgMar w:top="2098" w:right="1474" w:bottom="1984" w:left="1588" w:header="851" w:footer="992" w:gutter="0"/>
          <w:cols w:space="0" w:num="1"/>
          <w:docGrid w:type="lines" w:linePitch="312" w:charSpace="0"/>
        </w:sectPr>
      </w:pPr>
    </w:p>
    <w:p w14:paraId="07F33960">
      <w:pPr>
        <w:rPr>
          <w:rFonts w:ascii="仿宋" w:hAnsi="仿宋" w:eastAsia="仿宋" w:cs="仿宋"/>
          <w:color w:val="000000"/>
          <w:kern w:val="0"/>
          <w:sz w:val="32"/>
          <w:szCs w:val="32"/>
        </w:rPr>
        <w:sectPr>
          <w:pgSz w:w="11906" w:h="16838"/>
          <w:pgMar w:top="2098" w:right="1474" w:bottom="1984" w:left="1588" w:header="851" w:footer="992" w:gutter="0"/>
          <w:cols w:space="0" w:num="1"/>
          <w:docGrid w:type="lines" w:linePitch="312" w:charSpace="0"/>
        </w:sectPr>
      </w:pPr>
      <w:r>
        <w:pict>
          <v:shape id="图片 21" o:spid="_x0000_s1074" o:spt="75" alt="2" type="#_x0000_t75" style="position:absolute;left:0pt;margin-left:-79.45pt;margin-top:-105.35pt;height:840.95pt;width:594.5pt;z-index:-251653120;mso-width-relative:page;mso-height-relative:page;" filled="f" o:preferrelative="t" stroked="f" coordsize="21600,21600">
            <v:path/>
            <v:fill on="f" focussize="0,0"/>
            <v:stroke on="f" joinstyle="miter"/>
            <v:imagedata r:id="rId7" o:title=""/>
            <o:lock v:ext="edit" aspectratio="t"/>
          </v:shape>
        </w:pict>
      </w:r>
      <w:r>
        <w:pict>
          <v:shape id="_x0000_s1075" o:spid="_x0000_s1075" o:spt="202" type="#_x0000_t202" style="position:absolute;left:0pt;margin-left:-78.7pt;margin-top:232.8pt;height:159.1pt;width:596.2pt;z-index:25167052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0208E0B9">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78BBE0A3">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14:paraId="117CFEBA">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（一）财政拨款收入：</w:t>
      </w:r>
      <w:r>
        <w:rPr>
          <w:rFonts w:hint="eastAsia" w:ascii="仿宋" w:hAnsi="仿宋" w:eastAsia="仿宋" w:cs="仿宋"/>
          <w:color w:val="000000"/>
          <w:kern w:val="0"/>
          <w:sz w:val="32"/>
          <w:szCs w:val="32"/>
        </w:rPr>
        <w:t>本年度从本级财政部门取得的财政拨款，包括一般公共预算财政拨款和政府性基金预算财政拨款。</w:t>
      </w:r>
    </w:p>
    <w:p w14:paraId="360C6D8E">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（二）事业收入：</w:t>
      </w:r>
      <w:r>
        <w:rPr>
          <w:rFonts w:hint="eastAsia" w:ascii="仿宋" w:hAnsi="仿宋" w:eastAsia="仿宋" w:cs="仿宋"/>
          <w:color w:val="000000"/>
          <w:kern w:val="0"/>
          <w:sz w:val="32"/>
          <w:szCs w:val="32"/>
        </w:rPr>
        <w:t>指事业单位开展专业业务活动及辅助活动所取得的收入。</w:t>
      </w:r>
    </w:p>
    <w:p w14:paraId="7EF1B5DB">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（三）其他收入：</w:t>
      </w:r>
      <w:r>
        <w:rPr>
          <w:rFonts w:hint="eastAsia" w:ascii="仿宋" w:hAnsi="仿宋" w:eastAsia="仿宋" w:cs="仿宋"/>
          <w:color w:val="000000"/>
          <w:kern w:val="0"/>
          <w:sz w:val="32"/>
          <w:szCs w:val="32"/>
        </w:rPr>
        <w:t>指除上述“财政拨款收入”“事业收入”“经营收入”等以外的收入。</w:t>
      </w:r>
    </w:p>
    <w:p w14:paraId="4C8CB6C6">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（四）用事业基金弥补收支差额：</w:t>
      </w:r>
      <w:r>
        <w:rPr>
          <w:rFonts w:hint="eastAsia" w:ascii="仿宋" w:hAnsi="仿宋" w:eastAsia="仿宋" w:cs="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2C428FA">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（五）年初结转和结余：</w:t>
      </w:r>
      <w:r>
        <w:rPr>
          <w:rFonts w:hint="eastAsia" w:ascii="仿宋" w:hAnsi="仿宋" w:eastAsia="仿宋" w:cs="仿宋"/>
          <w:color w:val="000000"/>
          <w:kern w:val="0"/>
          <w:sz w:val="32"/>
          <w:szCs w:val="32"/>
        </w:rPr>
        <w:t>指以前年度尚未完成、结转到本年仍按原规定用途继续使用的资金，或项目已完成等产生的结余资金。</w:t>
      </w:r>
    </w:p>
    <w:p w14:paraId="0E43013A">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（六）结余分配：</w:t>
      </w:r>
      <w:r>
        <w:rPr>
          <w:rFonts w:hint="eastAsia" w:ascii="仿宋" w:hAnsi="仿宋" w:eastAsia="仿宋" w:cs="仿宋"/>
          <w:color w:val="000000"/>
          <w:kern w:val="0"/>
          <w:sz w:val="32"/>
          <w:szCs w:val="32"/>
        </w:rPr>
        <w:t>指事业单位按照事业单位会计制度的规定从非财政补助结余中分配的事业基金和职工福利基金等。</w:t>
      </w:r>
    </w:p>
    <w:p w14:paraId="0F4E75CD">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（七）年末结转和结</w:t>
      </w:r>
      <w:r>
        <w:pict>
          <v:group id="_x0000_s1076" o:spid="_x0000_s1076" o:spt="203" style="position:absolute;left:0pt;margin-left:-81.05pt;margin-top:39.65pt;height:43.95pt;width:264.85pt;mso-position-vertical-relative:page;z-index:25167257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77"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78"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FF1E8C1">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77ECC690">
                    <w:pPr>
                      <w:jc w:val="center"/>
                    </w:pPr>
                  </w:p>
                </w:txbxContent>
              </v:textbox>
            </v:rect>
            <w10:anchorlock/>
          </v:group>
        </w:pict>
      </w:r>
      <w:r>
        <w:rPr>
          <w:rFonts w:hint="eastAsia" w:ascii="仿宋" w:hAnsi="仿宋" w:eastAsia="仿宋" w:cs="仿宋"/>
          <w:b/>
          <w:bCs/>
          <w:color w:val="000000"/>
          <w:kern w:val="0"/>
          <w:sz w:val="32"/>
          <w:szCs w:val="32"/>
        </w:rPr>
        <w:t>余：</w:t>
      </w:r>
      <w:r>
        <w:rPr>
          <w:rFonts w:hint="eastAsia" w:ascii="仿宋" w:hAnsi="仿宋" w:eastAsia="仿宋" w:cs="仿宋"/>
          <w:color w:val="000000"/>
          <w:kern w:val="0"/>
          <w:sz w:val="32"/>
          <w:szCs w:val="32"/>
        </w:rPr>
        <w:t>指单位按有关规定结转到下年或以后年度继续使用的资金，或项目已完成等产生的结余资金。</w:t>
      </w:r>
    </w:p>
    <w:p w14:paraId="63D9C868">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（八）基本支出：</w:t>
      </w:r>
      <w:r>
        <w:rPr>
          <w:rFonts w:hint="eastAsia" w:ascii="仿宋" w:hAnsi="仿宋" w:eastAsia="仿宋" w:cs="仿宋"/>
          <w:color w:val="000000"/>
          <w:kern w:val="0"/>
          <w:sz w:val="32"/>
          <w:szCs w:val="32"/>
        </w:rPr>
        <w:t>填列单位为保障机构正常运转、完成日常工作任务而发生的各项支出。</w:t>
      </w:r>
    </w:p>
    <w:p w14:paraId="19CB24BF">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（九）项目支出：</w:t>
      </w:r>
      <w:r>
        <w:rPr>
          <w:rFonts w:hint="eastAsia" w:ascii="仿宋" w:hAnsi="仿宋" w:eastAsia="仿宋" w:cs="仿宋"/>
          <w:color w:val="000000"/>
          <w:kern w:val="0"/>
          <w:sz w:val="32"/>
          <w:szCs w:val="32"/>
        </w:rPr>
        <w:t>填列单位为完成特定的行政工作任务或事业发展目标，在基本支出之外发生的各项支出</w:t>
      </w:r>
    </w:p>
    <w:p w14:paraId="5BB0D032">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（十）资本性支出（基本建设）：</w:t>
      </w:r>
      <w:r>
        <w:rPr>
          <w:rFonts w:hint="eastAsia" w:ascii="仿宋" w:hAnsi="仿宋" w:eastAsia="仿宋" w:cs="仿宋"/>
          <w:color w:val="000000"/>
          <w:kern w:val="0"/>
          <w:sz w:val="32"/>
          <w:szCs w:val="32"/>
        </w:rPr>
        <w:t>填列切块由发展改革部门安排的基本建设支出，对企业补助支出不在此科目反映。</w:t>
      </w:r>
    </w:p>
    <w:p w14:paraId="4DE89BC4">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（十一）资本性支出：</w:t>
      </w:r>
      <w:r>
        <w:rPr>
          <w:rFonts w:hint="eastAsia" w:ascii="仿宋" w:hAnsi="仿宋" w:eastAsia="仿宋" w:cs="仿宋"/>
          <w:color w:val="000000"/>
          <w:kern w:val="0"/>
          <w:sz w:val="32"/>
          <w:szCs w:val="32"/>
        </w:rPr>
        <w:t>填列各单位安排的资本性支出。切块由发展改革部门安排的基本建设支出不在此科目反映。</w:t>
      </w:r>
    </w:p>
    <w:p w14:paraId="764143EE">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（十二）“三公”经费：</w:t>
      </w:r>
      <w:r>
        <w:rPr>
          <w:rFonts w:hint="eastAsia" w:ascii="仿宋" w:hAnsi="仿宋" w:eastAsia="仿宋" w:cs="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79" o:spid="_x0000_s1079" o:spt="203" style="position:absolute;left:0pt;margin-left:-81.05pt;margin-top:39.65pt;height:43.95pt;width:264.85pt;mso-position-vertical-relative:page;z-index:25168588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80"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66011DB7">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79C869DA">
                    <w:pPr>
                      <w:jc w:val="center"/>
                    </w:pPr>
                  </w:p>
                </w:txbxContent>
              </v:textbox>
            </v:rect>
            <w10:anchorlock/>
          </v:group>
        </w:pict>
      </w:r>
      <w:r>
        <w:rPr>
          <w:rFonts w:hint="eastAsia" w:ascii="仿宋" w:hAnsi="仿宋" w:eastAsia="仿宋" w:cs="仿宋"/>
          <w:color w:val="000000"/>
          <w:kern w:val="0"/>
          <w:sz w:val="32"/>
          <w:szCs w:val="32"/>
        </w:rPr>
        <w:t>待费反映单位按规定开支的各类公务接待（含外宾接待）支出。</w:t>
      </w:r>
    </w:p>
    <w:p w14:paraId="4D45FF27">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（十三）其</w:t>
      </w:r>
      <w:r>
        <w:pict>
          <v:group id="_x0000_s1082" o:spid="_x0000_s1082" o:spt="203" style="position:absolute;left:0pt;margin-left:-81.05pt;margin-top:39.65pt;height:43.95pt;width:264.85pt;mso-position-vertical-relative:page;z-index:25168691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83"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377E0D16">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7EE7FA24">
                    <w:pPr>
                      <w:jc w:val="center"/>
                    </w:pPr>
                  </w:p>
                </w:txbxContent>
              </v:textbox>
            </v:rect>
            <w10:anchorlock/>
          </v:group>
        </w:pict>
      </w:r>
      <w:r>
        <w:rPr>
          <w:rFonts w:hint="eastAsia" w:ascii="仿宋" w:hAnsi="仿宋" w:eastAsia="仿宋" w:cs="仿宋"/>
          <w:b/>
          <w:bCs/>
          <w:color w:val="000000"/>
          <w:kern w:val="0"/>
          <w:sz w:val="32"/>
          <w:szCs w:val="32"/>
        </w:rPr>
        <w:t>他交通费用：</w:t>
      </w:r>
      <w:r>
        <w:rPr>
          <w:rFonts w:hint="eastAsia" w:ascii="仿宋" w:hAnsi="仿宋" w:eastAsia="仿宋" w:cs="仿宋"/>
          <w:color w:val="000000"/>
          <w:kern w:val="0"/>
          <w:sz w:val="32"/>
          <w:szCs w:val="32"/>
        </w:rPr>
        <w:t>填列单位除公务用车运行维护费以外的其他交通费用。如公务交通补贴、租车费用、出租车费用、飞机、船舶等的燃料费、维修费、保险费等。</w:t>
      </w:r>
    </w:p>
    <w:p w14:paraId="1D0498A7">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（十四）公务用车购置：</w:t>
      </w:r>
      <w:r>
        <w:rPr>
          <w:rFonts w:hint="eastAsia" w:ascii="仿宋" w:hAnsi="仿宋" w:eastAsia="仿宋" w:cs="仿宋"/>
          <w:color w:val="000000"/>
          <w:kern w:val="0"/>
          <w:sz w:val="32"/>
          <w:szCs w:val="32"/>
        </w:rPr>
        <w:t>填列单位公务用车购置支出（含车辆购置税、牌照费）。</w:t>
      </w:r>
    </w:p>
    <w:p w14:paraId="5187567B">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（十五）其他交通工具购置：</w:t>
      </w:r>
      <w:r>
        <w:rPr>
          <w:rFonts w:hint="eastAsia" w:ascii="仿宋" w:hAnsi="仿宋" w:eastAsia="仿宋" w:cs="仿宋"/>
          <w:color w:val="000000"/>
          <w:kern w:val="0"/>
          <w:sz w:val="32"/>
          <w:szCs w:val="32"/>
        </w:rPr>
        <w:t>填列单位除公务用车外的其他各类交通工具（如船舶、飞机）购置支出（含车辆购置税、牌照费）。</w:t>
      </w:r>
    </w:p>
    <w:p w14:paraId="222E1D1E">
      <w:pPr>
        <w:widowControl/>
        <w:spacing w:after="0" w:line="560" w:lineRule="exact"/>
        <w:ind w:firstLine="643" w:firstLineChars="200"/>
        <w:rPr>
          <w:rFonts w:ascii="仿宋" w:hAnsi="仿宋" w:eastAsia="仿宋" w:cs="仿宋"/>
          <w:color w:val="000000"/>
          <w:kern w:val="0"/>
          <w:sz w:val="32"/>
          <w:szCs w:val="32"/>
        </w:rPr>
      </w:pPr>
      <w:r>
        <w:rPr>
          <w:rFonts w:hint="eastAsia" w:ascii="仿宋" w:hAnsi="仿宋" w:eastAsia="仿宋" w:cs="仿宋"/>
          <w:b/>
          <w:bCs/>
          <w:color w:val="000000"/>
          <w:kern w:val="0"/>
          <w:sz w:val="32"/>
          <w:szCs w:val="32"/>
        </w:rPr>
        <w:t>（十六）机关运行经费：</w:t>
      </w:r>
      <w:r>
        <w:rPr>
          <w:rFonts w:hint="eastAsia" w:ascii="仿宋" w:hAnsi="仿宋" w:eastAsia="仿宋" w:cs="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A1FE855">
      <w:pPr>
        <w:widowControl/>
        <w:spacing w:after="0" w:line="560" w:lineRule="exact"/>
        <w:ind w:firstLine="643" w:firstLineChars="200"/>
        <w:rPr>
          <w:rFonts w:ascii="仿宋" w:hAnsi="仿宋" w:eastAsia="仿宋" w:cs="仿宋"/>
          <w:kern w:val="0"/>
          <w:sz w:val="32"/>
          <w:szCs w:val="32"/>
        </w:rPr>
        <w:sectPr>
          <w:pgSz w:w="11906" w:h="16838"/>
          <w:pgMar w:top="2098" w:right="1474" w:bottom="1985" w:left="1588" w:header="851" w:footer="992" w:gutter="0"/>
          <w:cols w:space="425" w:num="1"/>
          <w:docGrid w:type="lines" w:linePitch="312" w:charSpace="0"/>
        </w:sectPr>
      </w:pPr>
      <w:r>
        <w:rPr>
          <w:rFonts w:hint="eastAsia" w:ascii="仿宋" w:hAnsi="仿宋" w:eastAsia="仿宋" w:cs="仿宋"/>
          <w:b/>
          <w:bCs/>
          <w:color w:val="000000"/>
          <w:kern w:val="0"/>
          <w:sz w:val="32"/>
          <w:szCs w:val="32"/>
        </w:rPr>
        <w:t>（十七）经费形式</w:t>
      </w:r>
      <w:r>
        <w:rPr>
          <w:rFonts w:ascii="仿宋" w:hAnsi="仿宋" w:eastAsia="仿宋" w:cs="仿宋"/>
          <w:b/>
          <w:bCs/>
          <w:color w:val="000000"/>
          <w:kern w:val="0"/>
          <w:sz w:val="32"/>
          <w:szCs w:val="32"/>
        </w:rPr>
        <w:t>:</w:t>
      </w:r>
      <w:r>
        <w:rPr>
          <w:rFonts w:hint="eastAsia" w:ascii="仿宋" w:hAnsi="仿宋" w:eastAsia="仿宋" w:cs="仿宋"/>
          <w:color w:val="000000"/>
          <w:kern w:val="0"/>
          <w:sz w:val="32"/>
          <w:szCs w:val="32"/>
        </w:rPr>
        <w:t>按照经费来源，</w:t>
      </w:r>
      <w:r>
        <w:rPr>
          <w:rFonts w:hint="eastAsia" w:ascii="仿宋" w:hAnsi="仿宋" w:eastAsia="仿宋" w:cs="仿宋"/>
          <w:kern w:val="0"/>
          <w:sz w:val="32"/>
          <w:szCs w:val="32"/>
        </w:rPr>
        <w:t>可分为财政拨款、财政性资金基本保证、财政性资金定额或定项补助、财政性资金零补助四类。</w:t>
      </w:r>
    </w:p>
    <w:p w14:paraId="059DFE5B">
      <w:pPr>
        <w:widowControl/>
        <w:spacing w:after="0" w:line="560" w:lineRule="exact"/>
        <w:ind w:firstLine="420" w:firstLineChars="200"/>
        <w:rPr>
          <w:rFonts w:ascii="仿宋_GB2312" w:hAnsi="Cambria" w:eastAsia="仿宋_GB2312" w:cs="ArialUnicodeMS"/>
          <w:kern w:val="0"/>
          <w:sz w:val="32"/>
          <w:szCs w:val="32"/>
        </w:rPr>
      </w:pPr>
      <w:r>
        <w:pict>
          <v:shape id="图片 101" o:spid="_x0000_s1085" o:spt="75" alt="3" type="#_x0000_t75" style="position:absolute;left:0pt;margin-left:-78pt;margin-top:-106.7pt;height:845.35pt;width:597.65pt;z-index:-251652096;mso-width-relative:page;mso-height-relative:page;" filled="f" o:preferrelative="t" stroked="f" coordsize="21600,21600">
            <v:path/>
            <v:fill on="f" focussize="0,0"/>
            <v:stroke on="f" joinstyle="miter"/>
            <v:imagedata r:id="rId17" o:title=""/>
            <o:lock v:ext="edit" aspectratio="t"/>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MS Gothic">
    <w:panose1 w:val="020B0609070205080204"/>
    <w:charset w:val="80"/>
    <w:family w:val="modern"/>
    <w:pitch w:val="default"/>
    <w:sig w:usb0="E00002FF" w:usb1="6AC7FDFB" w:usb2="08000012" w:usb3="00000000" w:csb0="4002009F" w:csb1="DFD70000"/>
  </w:font>
  <w:font w:name="仿宋_GB2312">
    <w:altName w:val="仿宋"/>
    <w:panose1 w:val="00000000000000000000"/>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FmZWIzNDg2MmIzZjExOTIzMmViNTBmYTMwYTk0ZWYifQ=="/>
  </w:docVars>
  <w:rsids>
    <w:rsidRoot w:val="003C1413"/>
    <w:rsid w:val="00024E7F"/>
    <w:rsid w:val="000475A0"/>
    <w:rsid w:val="000838C3"/>
    <w:rsid w:val="000B2446"/>
    <w:rsid w:val="000D7C65"/>
    <w:rsid w:val="000E2F81"/>
    <w:rsid w:val="00117946"/>
    <w:rsid w:val="00117E2C"/>
    <w:rsid w:val="00146C47"/>
    <w:rsid w:val="00152FB8"/>
    <w:rsid w:val="00174DAB"/>
    <w:rsid w:val="00176658"/>
    <w:rsid w:val="0018239E"/>
    <w:rsid w:val="001B3410"/>
    <w:rsid w:val="001C030D"/>
    <w:rsid w:val="001C4A84"/>
    <w:rsid w:val="001E5902"/>
    <w:rsid w:val="00204EF6"/>
    <w:rsid w:val="00233705"/>
    <w:rsid w:val="00275CA2"/>
    <w:rsid w:val="00282154"/>
    <w:rsid w:val="002A65A5"/>
    <w:rsid w:val="002C04C4"/>
    <w:rsid w:val="002D08B0"/>
    <w:rsid w:val="002D1AE3"/>
    <w:rsid w:val="002D60BE"/>
    <w:rsid w:val="002F2ECE"/>
    <w:rsid w:val="00341C8F"/>
    <w:rsid w:val="0035463A"/>
    <w:rsid w:val="00355533"/>
    <w:rsid w:val="00391D9D"/>
    <w:rsid w:val="00391E1D"/>
    <w:rsid w:val="003B6C51"/>
    <w:rsid w:val="003C1413"/>
    <w:rsid w:val="003C549F"/>
    <w:rsid w:val="003D5A16"/>
    <w:rsid w:val="003E7DB3"/>
    <w:rsid w:val="003F7EC9"/>
    <w:rsid w:val="00420F7C"/>
    <w:rsid w:val="00431175"/>
    <w:rsid w:val="00487B17"/>
    <w:rsid w:val="004B6E37"/>
    <w:rsid w:val="004C0676"/>
    <w:rsid w:val="004C32BA"/>
    <w:rsid w:val="004D30CD"/>
    <w:rsid w:val="00575922"/>
    <w:rsid w:val="005A6C90"/>
    <w:rsid w:val="005B2FD6"/>
    <w:rsid w:val="005E3FB0"/>
    <w:rsid w:val="005F4B66"/>
    <w:rsid w:val="005F5208"/>
    <w:rsid w:val="00641318"/>
    <w:rsid w:val="0064405D"/>
    <w:rsid w:val="00685302"/>
    <w:rsid w:val="00695557"/>
    <w:rsid w:val="006D4EA7"/>
    <w:rsid w:val="0070012A"/>
    <w:rsid w:val="0070664B"/>
    <w:rsid w:val="007071B8"/>
    <w:rsid w:val="007414DE"/>
    <w:rsid w:val="007448E6"/>
    <w:rsid w:val="007905A9"/>
    <w:rsid w:val="007E5500"/>
    <w:rsid w:val="007F055B"/>
    <w:rsid w:val="0080644C"/>
    <w:rsid w:val="00811C2F"/>
    <w:rsid w:val="00833D46"/>
    <w:rsid w:val="00840A97"/>
    <w:rsid w:val="00867DDF"/>
    <w:rsid w:val="0088676A"/>
    <w:rsid w:val="008C0149"/>
    <w:rsid w:val="008D5DED"/>
    <w:rsid w:val="008E25CA"/>
    <w:rsid w:val="008F34FC"/>
    <w:rsid w:val="00902955"/>
    <w:rsid w:val="009071D5"/>
    <w:rsid w:val="00944CD7"/>
    <w:rsid w:val="009831B2"/>
    <w:rsid w:val="009A1ABE"/>
    <w:rsid w:val="009C64B7"/>
    <w:rsid w:val="009E21A4"/>
    <w:rsid w:val="009F22C6"/>
    <w:rsid w:val="00A06B55"/>
    <w:rsid w:val="00A07E50"/>
    <w:rsid w:val="00A15397"/>
    <w:rsid w:val="00A35CE0"/>
    <w:rsid w:val="00A4462E"/>
    <w:rsid w:val="00A44AA4"/>
    <w:rsid w:val="00A61623"/>
    <w:rsid w:val="00A70022"/>
    <w:rsid w:val="00A84687"/>
    <w:rsid w:val="00AB0A0E"/>
    <w:rsid w:val="00AD3B6E"/>
    <w:rsid w:val="00B1751F"/>
    <w:rsid w:val="00B56722"/>
    <w:rsid w:val="00B74D39"/>
    <w:rsid w:val="00B91DA4"/>
    <w:rsid w:val="00B9724F"/>
    <w:rsid w:val="00C12630"/>
    <w:rsid w:val="00C34562"/>
    <w:rsid w:val="00C3774E"/>
    <w:rsid w:val="00C57456"/>
    <w:rsid w:val="00C65387"/>
    <w:rsid w:val="00C87FAB"/>
    <w:rsid w:val="00C91FF7"/>
    <w:rsid w:val="00C94E53"/>
    <w:rsid w:val="00D0048E"/>
    <w:rsid w:val="00D23E7A"/>
    <w:rsid w:val="00D61063"/>
    <w:rsid w:val="00DB35AF"/>
    <w:rsid w:val="00DC6CDC"/>
    <w:rsid w:val="00DD72D7"/>
    <w:rsid w:val="00DF5B88"/>
    <w:rsid w:val="00E0589E"/>
    <w:rsid w:val="00E241FA"/>
    <w:rsid w:val="00E2595E"/>
    <w:rsid w:val="00E35374"/>
    <w:rsid w:val="00E50C19"/>
    <w:rsid w:val="00E64655"/>
    <w:rsid w:val="00E73081"/>
    <w:rsid w:val="00E856C9"/>
    <w:rsid w:val="00EB6A8B"/>
    <w:rsid w:val="00EF38C6"/>
    <w:rsid w:val="00EF7610"/>
    <w:rsid w:val="00F6584D"/>
    <w:rsid w:val="00F679C7"/>
    <w:rsid w:val="00F7711A"/>
    <w:rsid w:val="00FA0D58"/>
    <w:rsid w:val="00FA56F4"/>
    <w:rsid w:val="00FB4EDA"/>
    <w:rsid w:val="00FD3BD5"/>
    <w:rsid w:val="00FE3DC8"/>
    <w:rsid w:val="00FF2CF0"/>
    <w:rsid w:val="024B5DA0"/>
    <w:rsid w:val="04073F84"/>
    <w:rsid w:val="04E6315F"/>
    <w:rsid w:val="0B60750A"/>
    <w:rsid w:val="10686488"/>
    <w:rsid w:val="10DF728A"/>
    <w:rsid w:val="1264200E"/>
    <w:rsid w:val="141C5B77"/>
    <w:rsid w:val="18D8339D"/>
    <w:rsid w:val="1A21388F"/>
    <w:rsid w:val="1A570D2F"/>
    <w:rsid w:val="1C074CFC"/>
    <w:rsid w:val="1E0E18D1"/>
    <w:rsid w:val="204C37BE"/>
    <w:rsid w:val="220F7A04"/>
    <w:rsid w:val="26A1358F"/>
    <w:rsid w:val="28FB0B8D"/>
    <w:rsid w:val="2A8226A6"/>
    <w:rsid w:val="2A9870FC"/>
    <w:rsid w:val="2D2B7942"/>
    <w:rsid w:val="2D46481D"/>
    <w:rsid w:val="2E2C2035"/>
    <w:rsid w:val="2E733B28"/>
    <w:rsid w:val="31852B5A"/>
    <w:rsid w:val="32D01238"/>
    <w:rsid w:val="3326006E"/>
    <w:rsid w:val="360400DA"/>
    <w:rsid w:val="3C303681"/>
    <w:rsid w:val="3DFC59A8"/>
    <w:rsid w:val="3ECF245E"/>
    <w:rsid w:val="3FB96314"/>
    <w:rsid w:val="426D5099"/>
    <w:rsid w:val="43D659D2"/>
    <w:rsid w:val="53A44FAF"/>
    <w:rsid w:val="57774931"/>
    <w:rsid w:val="594329EC"/>
    <w:rsid w:val="5AAA28CE"/>
    <w:rsid w:val="5B082788"/>
    <w:rsid w:val="5BEE1540"/>
    <w:rsid w:val="5DE61A5D"/>
    <w:rsid w:val="5F341301"/>
    <w:rsid w:val="5FE76E5A"/>
    <w:rsid w:val="61783243"/>
    <w:rsid w:val="61E20B9D"/>
    <w:rsid w:val="63C04243"/>
    <w:rsid w:val="649C01C7"/>
    <w:rsid w:val="68D369A9"/>
    <w:rsid w:val="699A3F60"/>
    <w:rsid w:val="699B127C"/>
    <w:rsid w:val="6B0D0282"/>
    <w:rsid w:val="6B68005A"/>
    <w:rsid w:val="6BB9391A"/>
    <w:rsid w:val="6CCF61BC"/>
    <w:rsid w:val="72902E62"/>
    <w:rsid w:val="73C61104"/>
    <w:rsid w:val="7675186F"/>
    <w:rsid w:val="776452EA"/>
    <w:rsid w:val="7AE316E6"/>
    <w:rsid w:val="7D150F4E"/>
    <w:rsid w:val="7D7559DC"/>
    <w:rsid w:val="7DC663B9"/>
    <w:rsid w:val="7FCE0CF6"/>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99" w:semiHidden="0" w:name="Table Grid"/>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uiPriority w:val="99"/>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uiPriority w:val="99"/>
    <w:pPr>
      <w:ind w:left="100" w:leftChars="2500"/>
    </w:pPr>
  </w:style>
  <w:style w:type="paragraph" w:styleId="7">
    <w:name w:val="Balloon Text"/>
    <w:basedOn w:val="1"/>
    <w:link w:val="20"/>
    <w:semiHidden/>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Heading 1 Char"/>
    <w:basedOn w:val="14"/>
    <w:link w:val="2"/>
    <w:locked/>
    <w:uiPriority w:val="99"/>
    <w:rPr>
      <w:rFonts w:ascii="Times New Roman" w:hAnsi="Times New Roman" w:eastAsia="宋体" w:cs="Times New Roman"/>
      <w:b/>
      <w:bCs/>
      <w:kern w:val="44"/>
      <w:sz w:val="44"/>
      <w:szCs w:val="44"/>
    </w:rPr>
  </w:style>
  <w:style w:type="character" w:customStyle="1" w:styleId="16">
    <w:name w:val="Heading 2 Char"/>
    <w:basedOn w:val="14"/>
    <w:link w:val="3"/>
    <w:locked/>
    <w:uiPriority w:val="99"/>
    <w:rPr>
      <w:rFonts w:ascii="Calibri" w:hAnsi="Calibri" w:eastAsia="宋体" w:cs="Times New Roman"/>
      <w:b/>
      <w:bCs/>
      <w:sz w:val="32"/>
      <w:szCs w:val="32"/>
    </w:rPr>
  </w:style>
  <w:style w:type="character" w:customStyle="1" w:styleId="17">
    <w:name w:val="Heading 3 Char"/>
    <w:basedOn w:val="14"/>
    <w:link w:val="4"/>
    <w:locked/>
    <w:uiPriority w:val="99"/>
    <w:rPr>
      <w:rFonts w:ascii="Times New Roman" w:hAnsi="Times New Roman" w:eastAsia="宋体" w:cs="Times New Roman"/>
      <w:b/>
      <w:bCs/>
      <w:sz w:val="32"/>
      <w:szCs w:val="32"/>
    </w:rPr>
  </w:style>
  <w:style w:type="character" w:customStyle="1" w:styleId="18">
    <w:name w:val="Heading 4 Char"/>
    <w:basedOn w:val="14"/>
    <w:link w:val="5"/>
    <w:locked/>
    <w:uiPriority w:val="99"/>
    <w:rPr>
      <w:rFonts w:ascii="Calibri" w:hAnsi="Calibri" w:eastAsia="宋体" w:cs="Times New Roman"/>
      <w:b/>
      <w:bCs/>
      <w:sz w:val="28"/>
      <w:szCs w:val="28"/>
    </w:rPr>
  </w:style>
  <w:style w:type="character" w:customStyle="1" w:styleId="19">
    <w:name w:val="Date Char"/>
    <w:basedOn w:val="14"/>
    <w:link w:val="6"/>
    <w:semiHidden/>
    <w:locked/>
    <w:uiPriority w:val="99"/>
    <w:rPr>
      <w:rFonts w:ascii="Times New Roman" w:hAnsi="Times New Roman" w:eastAsia="宋体" w:cs="Times New Roman"/>
      <w:sz w:val="24"/>
      <w:szCs w:val="24"/>
    </w:rPr>
  </w:style>
  <w:style w:type="character" w:customStyle="1" w:styleId="20">
    <w:name w:val="Balloon Text Char"/>
    <w:basedOn w:val="14"/>
    <w:link w:val="7"/>
    <w:semiHidden/>
    <w:locked/>
    <w:uiPriority w:val="99"/>
    <w:rPr>
      <w:rFonts w:ascii="Times New Roman" w:hAnsi="Times New Roman" w:eastAsia="宋体" w:cs="Times New Roman"/>
      <w:sz w:val="18"/>
      <w:szCs w:val="18"/>
    </w:rPr>
  </w:style>
  <w:style w:type="character" w:customStyle="1" w:styleId="21">
    <w:name w:val="Footer Char"/>
    <w:basedOn w:val="14"/>
    <w:link w:val="8"/>
    <w:locked/>
    <w:uiPriority w:val="99"/>
    <w:rPr>
      <w:rFonts w:cs="Times New Roman"/>
      <w:sz w:val="18"/>
      <w:szCs w:val="18"/>
    </w:rPr>
  </w:style>
  <w:style w:type="character" w:customStyle="1" w:styleId="22">
    <w:name w:val="Header Char"/>
    <w:basedOn w:val="14"/>
    <w:link w:val="9"/>
    <w:locked/>
    <w:uiPriority w:val="99"/>
    <w:rPr>
      <w:rFonts w:cs="Times New Roman"/>
      <w:sz w:val="18"/>
      <w:szCs w:val="18"/>
    </w:rPr>
  </w:style>
  <w:style w:type="character" w:customStyle="1" w:styleId="23">
    <w:name w:val="Subtitle Char"/>
    <w:basedOn w:val="14"/>
    <w:link w:val="10"/>
    <w:locked/>
    <w:uiPriority w:val="99"/>
    <w:rPr>
      <w:rFonts w:ascii="Calibri" w:hAnsi="Calibri" w:eastAsia="宋体" w:cs="Times New Roman"/>
      <w:i/>
      <w:iCs/>
      <w:color w:val="F0A22E"/>
      <w:spacing w:val="15"/>
      <w:kern w:val="0"/>
      <w:sz w:val="24"/>
      <w:szCs w:val="24"/>
    </w:rPr>
  </w:style>
  <w:style w:type="character" w:customStyle="1" w:styleId="24">
    <w:name w:val="Title Char"/>
    <w:basedOn w:val="14"/>
    <w:link w:val="11"/>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4"/>
    <w:link w:val="25"/>
    <w:locked/>
    <w:uiPriority w:val="99"/>
    <w:rPr>
      <w:rFonts w:ascii="Cambria" w:hAnsi="Cambria" w:eastAsia="黑体" w:cs="Times New Roman"/>
      <w:sz w:val="22"/>
      <w:szCs w:val="22"/>
      <w:lang w:val="en-US" w:eastAsia="zh-CN" w:bidi="ar-SA"/>
    </w:rPr>
  </w:style>
  <w:style w:type="character" w:customStyle="1" w:styleId="27">
    <w:name w:val="Style1"/>
    <w:basedOn w:val="14"/>
    <w:uiPriority w:val="99"/>
    <w:rPr>
      <w:rFonts w:ascii="Cambria" w:hAnsi="黑体" w:eastAsia="黑体" w:cs="Times New Roman"/>
      <w:sz w:val="22"/>
      <w:szCs w:val="22"/>
      <w:lang w:eastAsia="zh-CN"/>
    </w:rPr>
  </w:style>
  <w:style w:type="character" w:customStyle="1" w:styleId="28">
    <w:name w:val="Style2"/>
    <w:basedOn w:val="14"/>
    <w:uiPriority w:val="99"/>
    <w:rPr>
      <w:rFonts w:ascii="Cambria" w:hAnsi="黑体" w:eastAsia="黑体" w:cs="Times New Roman"/>
      <w:sz w:val="22"/>
      <w:szCs w:val="22"/>
      <w:lang w:eastAsia="zh-CN"/>
    </w:rPr>
  </w:style>
  <w:style w:type="character" w:customStyle="1" w:styleId="29">
    <w:name w:val="Style3"/>
    <w:basedOn w:val="14"/>
    <w:uiPriority w:val="99"/>
    <w:rPr>
      <w:rFonts w:ascii="Cambria" w:hAnsi="黑体" w:eastAsia="黑体" w:cs="Times New Roman"/>
      <w:sz w:val="22"/>
      <w:szCs w:val="22"/>
      <w:lang w:eastAsia="zh-CN"/>
    </w:rPr>
  </w:style>
  <w:style w:type="character" w:customStyle="1" w:styleId="30">
    <w:name w:val="Style4"/>
    <w:basedOn w:val="14"/>
    <w:uiPriority w:val="99"/>
    <w:rPr>
      <w:rFonts w:ascii="Cambria" w:hAnsi="黑体" w:eastAsia="黑体" w:cs="Times New Roman"/>
      <w:sz w:val="22"/>
      <w:szCs w:val="22"/>
      <w:lang w:eastAsia="zh-CN"/>
    </w:rPr>
  </w:style>
  <w:style w:type="character" w:customStyle="1" w:styleId="31">
    <w:name w:val="Style5"/>
    <w:basedOn w:val="14"/>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emf"/><Relationship Id="rId8" Type="http://schemas.openxmlformats.org/officeDocument/2006/relationships/oleObject" Target="embeddings/oleObject1.bin"/><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8.jpeg"/><Relationship Id="rId16" Type="http://schemas.openxmlformats.org/officeDocument/2006/relationships/image" Target="media/image7.emf"/><Relationship Id="rId15" Type="http://schemas.openxmlformats.org/officeDocument/2006/relationships/oleObject" Target="embeddings/oleObject4.bin"/><Relationship Id="rId14" Type="http://schemas.openxmlformats.org/officeDocument/2006/relationships/image" Target="media/image6.emf"/><Relationship Id="rId13" Type="http://schemas.openxmlformats.org/officeDocument/2006/relationships/oleObject" Target="embeddings/oleObject3.bin"/><Relationship Id="rId12" Type="http://schemas.openxmlformats.org/officeDocument/2006/relationships/image" Target="media/image5.png"/><Relationship Id="rId11" Type="http://schemas.openxmlformats.org/officeDocument/2006/relationships/image" Target="media/image4.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6"/>
    <customShpInfo spid="_x0000_s1047"/>
    <customShpInfo spid="_x0000_s1048"/>
    <customShpInfo spid="_x0000_s1050"/>
    <customShpInfo spid="_x0000_s1051"/>
    <customShpInfo spid="_x0000_s1049"/>
    <customShpInfo spid="_x0000_s1052"/>
    <customShpInfo spid="_x0000_s1053"/>
    <customShpInfo spid="_x0000_s1054"/>
    <customShpInfo spid="_x0000_s1055"/>
    <customShpInfo spid="_x0000_s1056"/>
    <customShpInfo spid="_x0000_s1057"/>
    <customShpInfo spid="_x0000_s1058"/>
    <customShpInfo spid="_x0000_s1060"/>
    <customShpInfo spid="_x0000_s1061"/>
    <customShpInfo spid="_x0000_s1059"/>
    <customShpInfo spid="_x0000_s1063"/>
    <customShpInfo spid="_x0000_s1064"/>
    <customShpInfo spid="_x0000_s1062"/>
    <customShpInfo spid="_x0000_s1066"/>
    <customShpInfo spid="_x0000_s1067"/>
    <customShpInfo spid="_x0000_s1065"/>
    <customShpInfo spid="_x0000_s1069"/>
    <customShpInfo spid="_x0000_s1070"/>
    <customShpInfo spid="_x0000_s1068"/>
    <customShpInfo spid="_x0000_s1072"/>
    <customShpInfo spid="_x0000_s1073"/>
    <customShpInfo spid="_x0000_s1071"/>
    <customShpInfo spid="_x0000_s1074"/>
    <customShpInfo spid="_x0000_s1075"/>
    <customShpInfo spid="_x0000_s1077"/>
    <customShpInfo spid="_x0000_s1078"/>
    <customShpInfo spid="_x0000_s1076"/>
    <customShpInfo spid="_x0000_s1080"/>
    <customShpInfo spid="_x0000_s1081"/>
    <customShpInfo spid="_x0000_s1079"/>
    <customShpInfo spid="_x0000_s1083"/>
    <customShpInfo spid="_x0000_s1084"/>
    <customShpInfo spid="_x0000_s1082"/>
    <customShpInfo spid="_x0000_s108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25</Pages>
  <Words>5965</Words>
  <Characters>6461</Characters>
  <Lines>0</Lines>
  <Paragraphs>0</Paragraphs>
  <TotalTime>43</TotalTime>
  <ScaleCrop>false</ScaleCrop>
  <LinksUpToDate>false</LinksUpToDate>
  <CharactersWithSpaces>6505</CharactersWithSpaces>
  <Application>WPS Office_12.1.0.18543_F1E327BC-269C-435d-A152-05C5408002CA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燕儿</cp:lastModifiedBy>
  <cp:lastPrinted>2019-08-02T01:01:00Z</cp:lastPrinted>
  <dcterms:modified xsi:type="dcterms:W3CDTF">2024-09-29T02:10:13Z</dcterms:modified>
  <dc:subject>石家庄市xxx部门</dc:subject>
  <dc:title>2017年度部门决算</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ADB2799AA4ED4945AFBC76168D45E060_12</vt:lpwstr>
  </property>
</Properties>
</file>