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15.odttf" ContentType="application/vnd.openxmlformats-officedocument.obfuscatedFont"/>
  <Override PartName="/word/fonts/font16.odttf" ContentType="application/vnd.openxmlformats-officedocument.obfuscatedFont"/>
  <Override PartName="/word/fonts/font17.odttf" ContentType="application/vnd.openxmlformats-officedocument.obfuscatedFont"/>
  <Override PartName="/word/fonts/font18.odttf" ContentType="application/vnd.openxmlformats-officedocument.obfuscatedFont"/>
  <Override PartName="/word/fonts/font19.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470119">
      <w:pPr>
        <w:widowControl/>
        <w:jc w:val="center"/>
        <w:rPr>
          <w:rFonts w:ascii="黑体" w:hAnsi="黑体" w:eastAsia="黑体"/>
          <w:b/>
          <w:bCs/>
          <w:sz w:val="72"/>
          <w:szCs w:val="72"/>
        </w:rPr>
      </w:pPr>
      <w: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1"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7" descr="wc ga"/>
                    <pic:cNvPicPr>
                      <a:picLocks noChangeAspect="1"/>
                    </pic:cNvPicPr>
                  </pic:nvPicPr>
                  <pic:blipFill>
                    <a:blip r:embed="rId6"/>
                    <a:stretch>
                      <a:fillRect/>
                    </a:stretch>
                  </pic:blipFill>
                  <pic:spPr>
                    <a:xfrm>
                      <a:off x="0" y="0"/>
                      <a:ext cx="7576820" cy="10796905"/>
                    </a:xfrm>
                    <a:prstGeom prst="rect">
                      <a:avLst/>
                    </a:prstGeom>
                    <a:noFill/>
                    <a:ln>
                      <a:noFill/>
                    </a:ln>
                  </pic:spPr>
                </pic:pic>
              </a:graphicData>
            </a:graphic>
          </wp:anchor>
        </w:drawing>
      </w:r>
    </w:p>
    <w:p w14:paraId="4F6F80A8">
      <w:pPr>
        <w:widowControl/>
        <w:jc w:val="center"/>
        <w:rPr>
          <w:rFonts w:ascii="黑体" w:hAnsi="宋体" w:eastAsia="黑体"/>
          <w:color w:val="002060"/>
          <w:sz w:val="72"/>
          <w:szCs w:val="72"/>
        </w:rPr>
      </w:pPr>
      <w:r>
        <mc:AlternateContent>
          <mc:Choice Requires="wps">
            <w:drawing>
              <wp:anchor distT="0" distB="0" distL="114300" distR="114300" simplePos="0" relativeHeight="251660288"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2" name="文本框 3"/>
                <wp:cNvGraphicFramePr/>
                <a:graphic xmlns:a="http://schemas.openxmlformats.org/drawingml/2006/main">
                  <a:graphicData uri="http://schemas.microsoft.com/office/word/2010/wordprocessingShape">
                    <wps:wsp>
                      <wps:cNvSpPr txBox="1"/>
                      <wps:spPr>
                        <a:xfrm>
                          <a:off x="0" y="0"/>
                          <a:ext cx="7571740" cy="2111375"/>
                        </a:xfrm>
                        <a:prstGeom prst="rect">
                          <a:avLst/>
                        </a:prstGeom>
                        <a:noFill/>
                        <a:ln w="6350">
                          <a:noFill/>
                        </a:ln>
                      </wps:spPr>
                      <wps:txbx>
                        <w:txbxContent>
                          <w:p w14:paraId="1ED53EF5">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高邑县粮食局</w:t>
                            </w:r>
                          </w:p>
                          <w:p w14:paraId="50FA7F36">
                            <w:pPr>
                              <w:widowControl/>
                              <w:spacing w:line="1200" w:lineRule="exact"/>
                              <w:jc w:val="center"/>
                              <w:rPr>
                                <w:color w:val="FDEFBE"/>
                                <w:sz w:val="96"/>
                                <w:szCs w:val="96"/>
                              </w:rPr>
                            </w:pPr>
                            <w:r>
                              <w:rPr>
                                <w:rFonts w:ascii="黑体" w:hAnsi="宋体" w:eastAsia="黑体" w:cs="黑体"/>
                                <w:color w:val="FDEFBE"/>
                                <w:sz w:val="96"/>
                                <w:szCs w:val="96"/>
                              </w:rPr>
                              <w:t>2018</w:t>
                            </w:r>
                            <w:r>
                              <w:rPr>
                                <w:rFonts w:hint="eastAsia" w:ascii="黑体" w:hAnsi="宋体" w:eastAsia="黑体" w:cs="黑体"/>
                                <w:color w:val="FDEFBE"/>
                                <w:sz w:val="96"/>
                                <w:szCs w:val="96"/>
                              </w:rPr>
                              <w:t>年度部门决算</w:t>
                            </w:r>
                          </w:p>
                          <w:p w14:paraId="12F0CAFC">
                            <w:pPr>
                              <w:rPr>
                                <w:color w:val="FDEFBE"/>
                                <w:sz w:val="96"/>
                                <w:szCs w:val="96"/>
                              </w:rPr>
                            </w:pPr>
                          </w:p>
                        </w:txbxContent>
                      </wps:txbx>
                      <wps:bodyPr upright="1"/>
                    </wps:wsp>
                  </a:graphicData>
                </a:graphic>
              </wp:anchor>
            </w:drawing>
          </mc:Choice>
          <mc:Fallback>
            <w:pict>
              <v:shape id="文本框 3"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HDPDVNsAAAAMAQAADwAAAAAAAAABACAAAAAiAAAAZHJzL2Rvd25yZXYueG1sUEsBAhQA&#10;FAAAAAgAh07iQGo8XGu2AQAAWAMAAA4AAAAAAAAAAQAgAAAAKgEAAGRycy9lMm9Eb2MueG1sUEsF&#10;BgAAAAAGAAYAWQEAAFIFAAAAAA==&#10;">
                <v:fill on="f" focussize="0,0"/>
                <v:stroke on="f" weight="0.5pt"/>
                <v:imagedata o:title=""/>
                <o:lock v:ext="edit" aspectratio="f"/>
                <v:textbox>
                  <w:txbxContent>
                    <w:p w14:paraId="1ED53EF5">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高邑县粮食局</w:t>
                      </w:r>
                    </w:p>
                    <w:p w14:paraId="50FA7F36">
                      <w:pPr>
                        <w:widowControl/>
                        <w:spacing w:line="1200" w:lineRule="exact"/>
                        <w:jc w:val="center"/>
                        <w:rPr>
                          <w:color w:val="FDEFBE"/>
                          <w:sz w:val="96"/>
                          <w:szCs w:val="96"/>
                        </w:rPr>
                      </w:pPr>
                      <w:r>
                        <w:rPr>
                          <w:rFonts w:ascii="黑体" w:hAnsi="宋体" w:eastAsia="黑体" w:cs="黑体"/>
                          <w:color w:val="FDEFBE"/>
                          <w:sz w:val="96"/>
                          <w:szCs w:val="96"/>
                        </w:rPr>
                        <w:t>2018</w:t>
                      </w:r>
                      <w:r>
                        <w:rPr>
                          <w:rFonts w:hint="eastAsia" w:ascii="黑体" w:hAnsi="宋体" w:eastAsia="黑体" w:cs="黑体"/>
                          <w:color w:val="FDEFBE"/>
                          <w:sz w:val="96"/>
                          <w:szCs w:val="96"/>
                        </w:rPr>
                        <w:t>年度部门决算</w:t>
                      </w:r>
                    </w:p>
                    <w:p w14:paraId="12F0CAFC">
                      <w:pPr>
                        <w:rPr>
                          <w:color w:val="FDEFBE"/>
                          <w:sz w:val="96"/>
                          <w:szCs w:val="96"/>
                        </w:rPr>
                      </w:pPr>
                    </w:p>
                  </w:txbxContent>
                </v:textbox>
              </v:shape>
            </w:pict>
          </mc:Fallback>
        </mc:AlternateContent>
      </w:r>
    </w:p>
    <w:p w14:paraId="2F44B2CD">
      <w:pPr>
        <w:widowControl/>
        <w:jc w:val="center"/>
        <w:rPr>
          <w:rFonts w:ascii="黑体" w:hAnsi="黑体" w:eastAsia="黑体"/>
          <w:b/>
          <w:bCs/>
          <w:sz w:val="72"/>
          <w:szCs w:val="72"/>
        </w:rPr>
      </w:pPr>
    </w:p>
    <w:p w14:paraId="71745BBD">
      <w:pPr>
        <w:widowControl/>
        <w:jc w:val="center"/>
        <w:rPr>
          <w:rFonts w:ascii="黑体" w:hAnsi="黑体" w:eastAsia="黑体"/>
          <w:b/>
          <w:bCs/>
          <w:sz w:val="72"/>
          <w:szCs w:val="72"/>
        </w:rPr>
      </w:pPr>
    </w:p>
    <w:p w14:paraId="080E7C96">
      <w:pPr>
        <w:widowControl/>
        <w:jc w:val="center"/>
        <w:rPr>
          <w:rFonts w:ascii="黑体" w:hAnsi="黑体" w:eastAsia="黑体"/>
          <w:b/>
          <w:bCs/>
          <w:sz w:val="72"/>
          <w:szCs w:val="72"/>
        </w:rPr>
      </w:pPr>
    </w:p>
    <w:p w14:paraId="65095A10">
      <w:pPr>
        <w:widowControl/>
        <w:jc w:val="center"/>
        <w:rPr>
          <w:rFonts w:ascii="黑体" w:hAnsi="黑体" w:eastAsia="黑体"/>
          <w:b/>
          <w:bCs/>
          <w:sz w:val="72"/>
          <w:szCs w:val="72"/>
        </w:rPr>
      </w:pPr>
    </w:p>
    <w:p w14:paraId="772D0F7C">
      <w:pPr>
        <w:widowControl/>
        <w:jc w:val="center"/>
        <w:rPr>
          <w:rFonts w:ascii="黑体" w:hAnsi="黑体" w:eastAsia="黑体"/>
          <w:b/>
          <w:bCs/>
          <w:sz w:val="72"/>
          <w:szCs w:val="72"/>
        </w:rPr>
      </w:pPr>
    </w:p>
    <w:p w14:paraId="3BC0228B">
      <w:pPr>
        <w:widowControl/>
        <w:jc w:val="center"/>
        <w:rPr>
          <w:rFonts w:ascii="黑体" w:hAnsi="黑体" w:eastAsia="黑体"/>
          <w:b/>
          <w:bCs/>
          <w:sz w:val="72"/>
          <w:szCs w:val="72"/>
        </w:rPr>
      </w:pPr>
    </w:p>
    <w:p w14:paraId="413AEB24">
      <w:pPr>
        <w:widowControl/>
        <w:jc w:val="center"/>
        <w:rPr>
          <w:rFonts w:ascii="黑体" w:hAnsi="黑体" w:eastAsia="黑体"/>
          <w:b/>
          <w:bCs/>
          <w:sz w:val="72"/>
          <w:szCs w:val="72"/>
        </w:rPr>
      </w:pPr>
    </w:p>
    <w:p w14:paraId="4F4ED69D">
      <w:pPr>
        <w:widowControl/>
        <w:jc w:val="center"/>
        <w:rPr>
          <w:rFonts w:ascii="黑体" w:hAnsi="黑体" w:eastAsia="黑体"/>
          <w:b/>
          <w:bCs/>
          <w:sz w:val="72"/>
          <w:szCs w:val="72"/>
        </w:rPr>
      </w:pPr>
    </w:p>
    <w:p w14:paraId="409E387E">
      <w:pPr>
        <w:widowControl/>
        <w:jc w:val="center"/>
        <w:rPr>
          <w:rFonts w:ascii="楷体" w:hAnsi="楷体" w:eastAsia="楷体"/>
          <w:b/>
          <w:bCs/>
          <w:sz w:val="40"/>
          <w:szCs w:val="40"/>
        </w:rPr>
      </w:pPr>
    </w:p>
    <w:p w14:paraId="096E85CA">
      <w:pPr>
        <w:widowControl/>
        <w:jc w:val="center"/>
        <w:rPr>
          <w:rFonts w:ascii="楷体_GB2312" w:hAnsi="楷体" w:eastAsia="楷体_GB2312"/>
          <w:b/>
          <w:bCs/>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_GB2312"/>
          <w:b/>
          <w:bCs/>
          <w:sz w:val="40"/>
          <w:szCs w:val="40"/>
        </w:rPr>
        <w:t>二</w:t>
      </w:r>
      <w:r>
        <w:rPr>
          <w:rFonts w:hint="eastAsia" w:ascii="宋体" w:hAnsi="宋体" w:cs="宋体"/>
          <w:b/>
          <w:bCs/>
          <w:sz w:val="40"/>
          <w:szCs w:val="40"/>
        </w:rPr>
        <w:t>〇</w:t>
      </w:r>
      <w:r>
        <w:rPr>
          <w:rFonts w:hint="eastAsia" w:ascii="楷体_GB2312" w:hAnsi="楷体_GB2312" w:eastAsia="楷体_GB2312" w:cs="楷体_GB2312"/>
          <w:b/>
          <w:bCs/>
          <w:sz w:val="40"/>
          <w:szCs w:val="40"/>
        </w:rPr>
        <w:t>一九年十</w:t>
      </w:r>
      <w:r>
        <w:rPr>
          <w:rFonts w:hint="eastAsia" w:ascii="楷体_GB2312" w:hAnsi="楷体" w:eastAsia="楷体_GB2312" w:cs="楷体_GB2312"/>
          <w:b/>
          <w:bCs/>
          <w:sz w:val="40"/>
          <w:szCs w:val="40"/>
        </w:rPr>
        <w:t>月十日</w:t>
      </w:r>
    </w:p>
    <w:p w14:paraId="5CD2F2F2">
      <w:pPr>
        <w:widowControl/>
        <w:spacing w:after="0" w:line="600" w:lineRule="exact"/>
        <w:jc w:val="left"/>
        <w:rPr>
          <w:rFonts w:ascii="楷体" w:hAnsi="楷体" w:eastAsia="楷体"/>
          <w:sz w:val="32"/>
          <w:szCs w:val="32"/>
          <w:highlight w:val="yellow"/>
        </w:rPr>
      </w:pPr>
      <w:r>
        <w:rPr>
          <w:rFonts w:ascii="黑体" w:hAnsi="黑体" w:eastAsia="黑体"/>
          <w:sz w:val="44"/>
          <w:szCs w:val="44"/>
        </w:rPr>
        <w:br w:type="page"/>
      </w:r>
    </w:p>
    <w:p w14:paraId="29E875A2">
      <w:pPr>
        <w:spacing w:beforeLines="200" w:after="0" w:line="1000" w:lineRule="exact"/>
        <w:jc w:val="center"/>
        <w:rPr>
          <w:rFonts w:eastAsia="黑体"/>
          <w:sz w:val="32"/>
          <w:szCs w:val="32"/>
        </w:rPr>
      </w:pPr>
      <w:r>
        <mc:AlternateContent>
          <mc:Choice Requires="wpg">
            <w:drawing>
              <wp:anchor distT="0" distB="0" distL="114300" distR="114300" simplePos="0" relativeHeight="251673600" behindDoc="0" locked="1" layoutInCell="1" allowOverlap="0">
                <wp:simplePos x="0" y="0"/>
                <wp:positionH relativeFrom="column">
                  <wp:posOffset>-1026160</wp:posOffset>
                </wp:positionH>
                <wp:positionV relativeFrom="page">
                  <wp:posOffset>507365</wp:posOffset>
                </wp:positionV>
                <wp:extent cx="3175635" cy="593090"/>
                <wp:effectExtent l="3175" t="0" r="2540" b="16510"/>
                <wp:wrapNone/>
                <wp:docPr id="23" name="组合 4"/>
                <wp:cNvGraphicFramePr/>
                <a:graphic xmlns:a="http://schemas.openxmlformats.org/drawingml/2006/main">
                  <a:graphicData uri="http://schemas.microsoft.com/office/word/2010/wordprocessingGroup">
                    <wpg:wgp>
                      <wpg:cNvGrpSpPr/>
                      <wpg:grpSpPr>
                        <a:xfrm>
                          <a:off x="0" y="0"/>
                          <a:ext cx="3175635" cy="593090"/>
                          <a:chOff x="4551" y="52615"/>
                          <a:chExt cx="8546" cy="1398"/>
                        </a:xfrm>
                      </wpg:grpSpPr>
                      <wps:wsp>
                        <wps:cNvPr id="21" name="矩形 13"/>
                        <wps:cNvSpPr/>
                        <wps:spPr>
                          <a:xfrm>
                            <a:off x="4551" y="52615"/>
                            <a:ext cx="8546" cy="1175"/>
                          </a:xfrm>
                          <a:prstGeom prst="rect">
                            <a:avLst/>
                          </a:prstGeom>
                          <a:solidFill>
                            <a:srgbClr val="D9D9D9"/>
                          </a:solidFill>
                          <a:ln w="25400">
                            <a:noFill/>
                          </a:ln>
                        </wps:spPr>
                        <wps:bodyPr anchor="ctr" upright="1"/>
                      </wps:wsp>
                      <wps:wsp>
                        <wps:cNvPr id="22" name="矩形 14"/>
                        <wps:cNvSpPr/>
                        <wps:spPr>
                          <a:xfrm>
                            <a:off x="4577" y="52890"/>
                            <a:ext cx="8324" cy="1123"/>
                          </a:xfrm>
                          <a:prstGeom prst="rect">
                            <a:avLst/>
                          </a:prstGeom>
                          <a:solidFill>
                            <a:srgbClr val="AD002D"/>
                          </a:solidFill>
                          <a:ln w="25400" cap="flat" cmpd="sng">
                            <a:solidFill>
                              <a:srgbClr val="B0761F"/>
                            </a:solidFill>
                            <a:prstDash val="solid"/>
                            <a:round/>
                            <a:headEnd type="none" w="med" len="med"/>
                            <a:tailEnd type="none" w="med" len="med"/>
                          </a:ln>
                        </wps:spPr>
                        <wps:txbx>
                          <w:txbxContent>
                            <w:p w14:paraId="766BABCA">
                              <w:pPr>
                                <w:widowControl/>
                                <w:jc w:val="left"/>
                                <w:rPr>
                                  <w:rFonts w:ascii="楷体" w:hAnsi="楷体" w:eastAsia="楷体"/>
                                  <w:b/>
                                  <w:bCs/>
                                  <w:color w:val="FDEFBE"/>
                                  <w:sz w:val="36"/>
                                  <w:szCs w:val="36"/>
                                </w:rPr>
                              </w:pPr>
                              <w:r>
                                <w:rPr>
                                  <w:rFonts w:ascii="楷体" w:hAnsi="楷体" w:eastAsia="楷体" w:cs="楷体"/>
                                  <w:b/>
                                  <w:bCs/>
                                  <w:color w:val="FDEFBE"/>
                                  <w:kern w:val="0"/>
                                  <w:sz w:val="36"/>
                                  <w:szCs w:val="36"/>
                                </w:rPr>
                                <w:t>2018</w:t>
                              </w:r>
                              <w:r>
                                <w:rPr>
                                  <w:rFonts w:hint="eastAsia" w:ascii="楷体" w:hAnsi="楷体" w:eastAsia="楷体" w:cs="楷体"/>
                                  <w:b/>
                                  <w:bCs/>
                                  <w:color w:val="FDEFBE"/>
                                  <w:kern w:val="0"/>
                                  <w:sz w:val="36"/>
                                  <w:szCs w:val="36"/>
                                </w:rPr>
                                <w:t>年度部门决算</w:t>
                              </w:r>
                              <w:r>
                                <w:rPr>
                                  <w:rFonts w:hint="eastAsia" w:ascii="MS Gothic" w:hAnsi="MS Gothic" w:eastAsia="MS Gothic" w:cs="MS Gothic"/>
                                  <w:b/>
                                  <w:bCs/>
                                  <w:color w:val="FDEFBE"/>
                                  <w:kern w:val="0"/>
                                  <w:sz w:val="36"/>
                                  <w:szCs w:val="36"/>
                                </w:rPr>
                                <w:t>☞</w:t>
                              </w:r>
                              <w:r>
                                <w:rPr>
                                  <w:rFonts w:hint="eastAsia" w:ascii="楷体" w:hAnsi="楷体" w:eastAsia="楷体" w:cs="楷体"/>
                                  <w:b/>
                                  <w:bCs/>
                                  <w:color w:val="FDEFBE"/>
                                  <w:kern w:val="0"/>
                                  <w:sz w:val="36"/>
                                  <w:szCs w:val="36"/>
                                </w:rPr>
                                <w:t>目</w:t>
                              </w:r>
                              <w:r>
                                <w:rPr>
                                  <w:rFonts w:ascii="楷体" w:hAnsi="楷体" w:eastAsia="楷体" w:cs="楷体"/>
                                  <w:b/>
                                  <w:bCs/>
                                  <w:color w:val="FDEFBE"/>
                                  <w:kern w:val="0"/>
                                  <w:sz w:val="36"/>
                                  <w:szCs w:val="36"/>
                                </w:rPr>
                                <w:t xml:space="preserve"> </w:t>
                              </w:r>
                              <w:r>
                                <w:rPr>
                                  <w:rFonts w:hint="eastAsia" w:ascii="楷体" w:hAnsi="楷体" w:eastAsia="楷体" w:cs="楷体"/>
                                  <w:b/>
                                  <w:bCs/>
                                  <w:color w:val="FDEFBE"/>
                                  <w:kern w:val="0"/>
                                  <w:sz w:val="36"/>
                                  <w:szCs w:val="36"/>
                                </w:rPr>
                                <w:t>录</w:t>
                              </w:r>
                            </w:p>
                            <w:p w14:paraId="5F4F053E">
                              <w:pPr>
                                <w:jc w:val="center"/>
                              </w:pPr>
                            </w:p>
                          </w:txbxContent>
                        </wps:txbx>
                        <wps:bodyPr anchor="ctr" upright="1"/>
                      </wps:wsp>
                    </wpg:wgp>
                  </a:graphicData>
                </a:graphic>
              </wp:anchor>
            </w:drawing>
          </mc:Choice>
          <mc:Fallback>
            <w:pict>
              <v:group id="组合 4" o:spid="_x0000_s1026" o:spt="203" style="position:absolute;left:0pt;margin-left:-80.8pt;margin-top:39.95pt;height:46.7pt;width:250.05pt;mso-position-vertical-relative:page;z-index:251673600;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">
                <o:lock v:ext="edit" aspectratio="f"/>
                <v:rect id="矩形 13" o:spid="_x0000_s1026" o:spt="1" style="position:absolute;left:4551;top:52615;height:1175;width:8546;v-text-anchor:middle;" fillcolor="#D9D9D9" filled="t" stroked="f" coordsize="21600,21600" o:gfxdata="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MbNsN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NRcBTLsAAADb&#10;AAAADwAAAGRycy9kb3ducmV2LnhtbEWPT4vCMBTE74LfITxhb5rYg5auUVBw2aN/d6+P5m1bbF5K&#10;Eqt++40geBxm5jfMYnW3rejJh8axhulEgSAunWm40nA6bsc5iBCRDbaOScODAqyWw8ECC+NuvKf+&#10;ECuRIBwK1FDH2BVShrImi2HiOuLk/TlvMSbpK2k83hLctjJTaiYtNpwWauxoU1N5OVythtluvXHl&#10;Mf/68b+N2rnr9pHPz1p/jKbqE0Ske3yHX+1voyHL4Pkl/QC5/A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RcBTLsAAADb&#10;AAAADwAAAAAAAAABACAAAAAiAAAAZHJzL2Rvd25yZXYueG1sUEsBAhQAFAAAAAgAh07iQDMvBZ47&#10;AAAAOQAAABAAAAAAAAAAAQAgAAAACgEAAGRycy9zaGFwZXhtbC54bWxQSwUGAAAAAAYABgBbAQAA&#10;tAMAAAAA&#10;">
                  <v:fill on="t" focussize="0,0"/>
                  <v:stroke weight="2pt" color="#B0761F" joinstyle="round"/>
                  <v:imagedata o:title=""/>
                  <o:lock v:ext="edit" aspectratio="f"/>
                  <v:textbox>
                    <w:txbxContent>
                      <w:p w14:paraId="766BABCA">
                        <w:pPr>
                          <w:widowControl/>
                          <w:jc w:val="left"/>
                          <w:rPr>
                            <w:rFonts w:ascii="楷体" w:hAnsi="楷体" w:eastAsia="楷体"/>
                            <w:b/>
                            <w:bCs/>
                            <w:color w:val="FDEFBE"/>
                            <w:sz w:val="36"/>
                            <w:szCs w:val="36"/>
                          </w:rPr>
                        </w:pPr>
                        <w:r>
                          <w:rPr>
                            <w:rFonts w:ascii="楷体" w:hAnsi="楷体" w:eastAsia="楷体" w:cs="楷体"/>
                            <w:b/>
                            <w:bCs/>
                            <w:color w:val="FDEFBE"/>
                            <w:kern w:val="0"/>
                            <w:sz w:val="36"/>
                            <w:szCs w:val="36"/>
                          </w:rPr>
                          <w:t>2018</w:t>
                        </w:r>
                        <w:r>
                          <w:rPr>
                            <w:rFonts w:hint="eastAsia" w:ascii="楷体" w:hAnsi="楷体" w:eastAsia="楷体" w:cs="楷体"/>
                            <w:b/>
                            <w:bCs/>
                            <w:color w:val="FDEFBE"/>
                            <w:kern w:val="0"/>
                            <w:sz w:val="36"/>
                            <w:szCs w:val="36"/>
                          </w:rPr>
                          <w:t>年度部门决算</w:t>
                        </w:r>
                        <w:r>
                          <w:rPr>
                            <w:rFonts w:hint="eastAsia" w:ascii="MS Gothic" w:hAnsi="MS Gothic" w:eastAsia="MS Gothic" w:cs="MS Gothic"/>
                            <w:b/>
                            <w:bCs/>
                            <w:color w:val="FDEFBE"/>
                            <w:kern w:val="0"/>
                            <w:sz w:val="36"/>
                            <w:szCs w:val="36"/>
                          </w:rPr>
                          <w:t>☞</w:t>
                        </w:r>
                        <w:r>
                          <w:rPr>
                            <w:rFonts w:hint="eastAsia" w:ascii="楷体" w:hAnsi="楷体" w:eastAsia="楷体" w:cs="楷体"/>
                            <w:b/>
                            <w:bCs/>
                            <w:color w:val="FDEFBE"/>
                            <w:kern w:val="0"/>
                            <w:sz w:val="36"/>
                            <w:szCs w:val="36"/>
                          </w:rPr>
                          <w:t>目</w:t>
                        </w:r>
                        <w:r>
                          <w:rPr>
                            <w:rFonts w:ascii="楷体" w:hAnsi="楷体" w:eastAsia="楷体" w:cs="楷体"/>
                            <w:b/>
                            <w:bCs/>
                            <w:color w:val="FDEFBE"/>
                            <w:kern w:val="0"/>
                            <w:sz w:val="36"/>
                            <w:szCs w:val="36"/>
                          </w:rPr>
                          <w:t xml:space="preserve"> </w:t>
                        </w:r>
                        <w:r>
                          <w:rPr>
                            <w:rFonts w:hint="eastAsia" w:ascii="楷体" w:hAnsi="楷体" w:eastAsia="楷体" w:cs="楷体"/>
                            <w:b/>
                            <w:bCs/>
                            <w:color w:val="FDEFBE"/>
                            <w:kern w:val="0"/>
                            <w:sz w:val="36"/>
                            <w:szCs w:val="36"/>
                          </w:rPr>
                          <w:t>录</w:t>
                        </w:r>
                      </w:p>
                      <w:p w14:paraId="5F4F053E">
                        <w:pPr>
                          <w:jc w:val="center"/>
                        </w:pPr>
                      </w:p>
                    </w:txbxContent>
                  </v:textbox>
                </v:rect>
                <w10:anchorlock/>
              </v:group>
            </w:pict>
          </mc:Fallback>
        </mc:AlternateContent>
      </w:r>
      <w:r>
        <w:rPr>
          <w:rFonts w:hint="eastAsia" w:ascii="黑体" w:eastAsia="黑体" w:cs="黑体"/>
          <w:sz w:val="48"/>
          <w:szCs w:val="48"/>
        </w:rPr>
        <w:t>目</w:t>
      </w:r>
      <w:r>
        <w:rPr>
          <w:rFonts w:ascii="黑体" w:eastAsia="黑体" w:cs="黑体"/>
          <w:sz w:val="48"/>
          <w:szCs w:val="48"/>
        </w:rPr>
        <w:t xml:space="preserve">    </w:t>
      </w:r>
      <w:r>
        <w:rPr>
          <w:rFonts w:hint="eastAsia" w:ascii="黑体" w:eastAsia="黑体" w:cs="黑体"/>
          <w:sz w:val="48"/>
          <w:szCs w:val="48"/>
        </w:rPr>
        <w:t>录</w:t>
      </w:r>
    </w:p>
    <w:p w14:paraId="7B108A3F">
      <w:pPr>
        <w:widowControl/>
        <w:spacing w:line="580" w:lineRule="exact"/>
        <w:ind w:firstLine="640" w:firstLineChars="200"/>
        <w:rPr>
          <w:rFonts w:eastAsia="仿宋_GB2312"/>
          <w:sz w:val="24"/>
          <w:szCs w:val="24"/>
        </w:rPr>
      </w:pPr>
      <w:r>
        <w:rPr>
          <w:rFonts w:hint="eastAsia" w:eastAsia="黑体" w:cs="黑体"/>
          <w:sz w:val="32"/>
          <w:szCs w:val="32"/>
        </w:rPr>
        <w:t>第一部分</w:t>
      </w:r>
      <w:r>
        <w:rPr>
          <w:rFonts w:eastAsia="黑体"/>
          <w:sz w:val="32"/>
          <w:szCs w:val="32"/>
        </w:rPr>
        <w:t xml:space="preserve">   </w:t>
      </w:r>
      <w:r>
        <w:rPr>
          <w:rFonts w:hint="eastAsia" w:eastAsia="黑体" w:cs="黑体"/>
          <w:sz w:val="32"/>
          <w:szCs w:val="32"/>
        </w:rPr>
        <w:t>部门概况</w:t>
      </w:r>
      <w:r>
        <w:rPr>
          <w:rFonts w:eastAsia="仿宋_GB2312"/>
          <w:sz w:val="28"/>
          <w:szCs w:val="28"/>
        </w:rPr>
        <w:t xml:space="preserve">  </w:t>
      </w:r>
      <w:r>
        <w:rPr>
          <w:rFonts w:eastAsia="仿宋_GB2312"/>
          <w:sz w:val="24"/>
          <w:szCs w:val="24"/>
        </w:rPr>
        <w:t xml:space="preserve"> </w:t>
      </w:r>
    </w:p>
    <w:p w14:paraId="6B3AC323">
      <w:pPr>
        <w:widowControl/>
        <w:spacing w:line="580" w:lineRule="exact"/>
        <w:ind w:firstLine="1273" w:firstLineChars="398"/>
        <w:rPr>
          <w:rFonts w:eastAsia="仿宋_GB2312"/>
          <w:sz w:val="32"/>
          <w:szCs w:val="32"/>
        </w:rPr>
      </w:pPr>
      <w:r>
        <w:rPr>
          <w:rFonts w:hint="eastAsia" w:eastAsia="仿宋_GB2312" w:cs="仿宋_GB2312"/>
          <w:sz w:val="32"/>
          <w:szCs w:val="32"/>
        </w:rPr>
        <w:t>一、部门职责</w:t>
      </w:r>
    </w:p>
    <w:p w14:paraId="069460DC">
      <w:pPr>
        <w:widowControl/>
        <w:spacing w:line="580" w:lineRule="exact"/>
        <w:ind w:firstLine="1273" w:firstLineChars="398"/>
        <w:rPr>
          <w:rFonts w:eastAsia="仿宋_GB2312"/>
          <w:sz w:val="32"/>
          <w:szCs w:val="32"/>
        </w:rPr>
      </w:pPr>
      <w:r>
        <w:rPr>
          <w:rFonts w:hint="eastAsia" w:eastAsia="仿宋_GB2312" w:cs="仿宋_GB2312"/>
          <w:sz w:val="32"/>
          <w:szCs w:val="32"/>
        </w:rPr>
        <w:t>二、机构设置</w:t>
      </w:r>
    </w:p>
    <w:p w14:paraId="09E32D4F">
      <w:pPr>
        <w:widowControl/>
        <w:spacing w:line="580" w:lineRule="exact"/>
        <w:ind w:firstLine="640" w:firstLineChars="200"/>
        <w:rPr>
          <w:rFonts w:eastAsia="仿宋_GB2312"/>
          <w:sz w:val="20"/>
          <w:szCs w:val="20"/>
        </w:rPr>
      </w:pPr>
      <w:r>
        <w:rPr>
          <w:rFonts w:hint="eastAsia" w:eastAsia="黑体" w:cs="黑体"/>
          <w:sz w:val="32"/>
          <w:szCs w:val="32"/>
        </w:rPr>
        <w:t>第二部分</w:t>
      </w:r>
      <w:r>
        <w:rPr>
          <w:rFonts w:eastAsia="黑体"/>
          <w:sz w:val="32"/>
          <w:szCs w:val="32"/>
        </w:rPr>
        <w:t xml:space="preserve">   2018</w:t>
      </w:r>
      <w:r>
        <w:rPr>
          <w:rFonts w:hint="eastAsia" w:eastAsia="黑体" w:cs="黑体"/>
          <w:sz w:val="32"/>
          <w:szCs w:val="32"/>
        </w:rPr>
        <w:t>年度部门决算报表</w:t>
      </w:r>
    </w:p>
    <w:p w14:paraId="6E1A3AB4">
      <w:pPr>
        <w:widowControl/>
        <w:spacing w:line="580" w:lineRule="exact"/>
        <w:ind w:left="640" w:firstLine="640" w:firstLineChars="200"/>
        <w:rPr>
          <w:rFonts w:eastAsia="仿宋_GB2312"/>
          <w:sz w:val="32"/>
          <w:szCs w:val="32"/>
        </w:rPr>
      </w:pPr>
      <w:r>
        <w:rPr>
          <w:rFonts w:hint="eastAsia" w:eastAsia="仿宋_GB2312" w:cs="仿宋_GB2312"/>
          <w:sz w:val="32"/>
          <w:szCs w:val="32"/>
        </w:rPr>
        <w:t>一、收入支出决算总表</w:t>
      </w:r>
    </w:p>
    <w:p w14:paraId="7404B818">
      <w:pPr>
        <w:widowControl/>
        <w:spacing w:line="580" w:lineRule="exact"/>
        <w:ind w:left="640" w:firstLine="640" w:firstLineChars="200"/>
        <w:rPr>
          <w:rFonts w:eastAsia="仿宋_GB2312"/>
          <w:sz w:val="32"/>
          <w:szCs w:val="32"/>
        </w:rPr>
      </w:pPr>
      <w:r>
        <w:rPr>
          <w:rFonts w:hint="eastAsia" w:eastAsia="仿宋_GB2312" w:cs="仿宋_GB2312"/>
          <w:sz w:val="32"/>
          <w:szCs w:val="32"/>
        </w:rPr>
        <w:t>二、收入决算表</w:t>
      </w:r>
    </w:p>
    <w:p w14:paraId="43F54EE8">
      <w:pPr>
        <w:widowControl/>
        <w:spacing w:line="580" w:lineRule="exact"/>
        <w:ind w:left="640" w:firstLine="640" w:firstLineChars="200"/>
        <w:rPr>
          <w:rFonts w:eastAsia="仿宋_GB2312"/>
          <w:sz w:val="32"/>
          <w:szCs w:val="32"/>
        </w:rPr>
      </w:pPr>
      <w:r>
        <w:rPr>
          <w:rFonts w:hint="eastAsia" w:eastAsia="仿宋_GB2312" w:cs="仿宋_GB2312"/>
          <w:sz w:val="32"/>
          <w:szCs w:val="32"/>
        </w:rPr>
        <w:t>三、支出决算表</w:t>
      </w:r>
    </w:p>
    <w:p w14:paraId="460C5BB1">
      <w:pPr>
        <w:widowControl/>
        <w:spacing w:line="580" w:lineRule="exact"/>
        <w:ind w:left="640" w:firstLine="640" w:firstLineChars="200"/>
        <w:rPr>
          <w:rFonts w:eastAsia="仿宋_GB2312"/>
          <w:sz w:val="32"/>
          <w:szCs w:val="32"/>
        </w:rPr>
      </w:pPr>
      <w:r>
        <w:rPr>
          <w:rFonts w:hint="eastAsia" w:eastAsia="仿宋_GB2312" w:cs="仿宋_GB2312"/>
          <w:sz w:val="32"/>
          <w:szCs w:val="32"/>
        </w:rPr>
        <w:t>四、财政拨款收入支出决算总表</w:t>
      </w:r>
    </w:p>
    <w:p w14:paraId="564B12FA">
      <w:pPr>
        <w:widowControl/>
        <w:spacing w:line="580" w:lineRule="exact"/>
        <w:ind w:left="640" w:firstLine="640" w:firstLineChars="200"/>
        <w:rPr>
          <w:rFonts w:eastAsia="仿宋_GB2312"/>
          <w:sz w:val="32"/>
          <w:szCs w:val="32"/>
        </w:rPr>
      </w:pPr>
      <w:r>
        <w:rPr>
          <w:rFonts w:hint="eastAsia" w:eastAsia="仿宋_GB2312" w:cs="仿宋_GB2312"/>
          <w:sz w:val="32"/>
          <w:szCs w:val="32"/>
        </w:rPr>
        <w:t>五、一般公共预算财政拨款支出决算表</w:t>
      </w:r>
    </w:p>
    <w:p w14:paraId="2BAB35E0">
      <w:pPr>
        <w:widowControl/>
        <w:spacing w:line="580" w:lineRule="exact"/>
        <w:ind w:left="640" w:firstLine="640" w:firstLineChars="200"/>
        <w:rPr>
          <w:rFonts w:eastAsia="仿宋_GB2312"/>
          <w:sz w:val="32"/>
          <w:szCs w:val="32"/>
        </w:rPr>
      </w:pPr>
      <w:r>
        <w:rPr>
          <w:rFonts w:hint="eastAsia" w:eastAsia="仿宋_GB2312" w:cs="仿宋_GB2312"/>
          <w:sz w:val="32"/>
          <w:szCs w:val="32"/>
        </w:rPr>
        <w:t>六、一般公共预算财政拨款基本支出决算表</w:t>
      </w:r>
    </w:p>
    <w:p w14:paraId="2194B0F7">
      <w:pPr>
        <w:widowControl/>
        <w:spacing w:line="580" w:lineRule="exact"/>
        <w:ind w:left="640" w:firstLine="640" w:firstLineChars="200"/>
        <w:rPr>
          <w:rFonts w:eastAsia="仿宋_GB2312"/>
          <w:sz w:val="32"/>
          <w:szCs w:val="32"/>
        </w:rPr>
      </w:pPr>
      <w:r>
        <w:rPr>
          <w:rFonts w:hint="eastAsia" w:eastAsia="仿宋_GB2312" w:cs="仿宋_GB2312"/>
          <w:sz w:val="32"/>
          <w:szCs w:val="32"/>
        </w:rPr>
        <w:t>七、一般公共预算财政拨款</w:t>
      </w:r>
      <w:r>
        <w:rPr>
          <w:rFonts w:eastAsia="仿宋_GB2312"/>
          <w:sz w:val="32"/>
          <w:szCs w:val="32"/>
        </w:rPr>
        <w:t>“</w:t>
      </w:r>
      <w:r>
        <w:rPr>
          <w:rFonts w:hint="eastAsia" w:eastAsia="仿宋_GB2312" w:cs="仿宋_GB2312"/>
          <w:sz w:val="32"/>
          <w:szCs w:val="32"/>
        </w:rPr>
        <w:t>三公</w:t>
      </w:r>
      <w:r>
        <w:rPr>
          <w:rFonts w:eastAsia="仿宋_GB2312"/>
          <w:sz w:val="32"/>
          <w:szCs w:val="32"/>
        </w:rPr>
        <w:t>”</w:t>
      </w:r>
      <w:r>
        <w:rPr>
          <w:rFonts w:hint="eastAsia" w:eastAsia="仿宋_GB2312" w:cs="仿宋_GB2312"/>
          <w:sz w:val="32"/>
          <w:szCs w:val="32"/>
        </w:rPr>
        <w:t>经费支出决算表</w:t>
      </w:r>
    </w:p>
    <w:p w14:paraId="171E740B">
      <w:pPr>
        <w:widowControl/>
        <w:spacing w:line="580" w:lineRule="exact"/>
        <w:ind w:left="640" w:firstLine="640" w:firstLineChars="200"/>
        <w:rPr>
          <w:rFonts w:eastAsia="仿宋_GB2312"/>
          <w:sz w:val="32"/>
          <w:szCs w:val="32"/>
        </w:rPr>
      </w:pPr>
      <w:r>
        <w:rPr>
          <w:rFonts w:hint="eastAsia" w:eastAsia="仿宋_GB2312" w:cs="仿宋_GB2312"/>
          <w:sz w:val="32"/>
          <w:szCs w:val="32"/>
        </w:rPr>
        <w:t>八、政府性基金预算财政拨款收入支出决算表</w:t>
      </w:r>
    </w:p>
    <w:p w14:paraId="3831910D">
      <w:pPr>
        <w:widowControl/>
        <w:spacing w:line="580" w:lineRule="exact"/>
        <w:ind w:left="640" w:firstLine="640" w:firstLineChars="200"/>
        <w:rPr>
          <w:rFonts w:eastAsia="仿宋_GB2312"/>
          <w:sz w:val="32"/>
          <w:szCs w:val="32"/>
        </w:rPr>
      </w:pPr>
      <w:r>
        <w:rPr>
          <w:rFonts w:hint="eastAsia" w:eastAsia="仿宋_GB2312" w:cs="仿宋_GB2312"/>
          <w:sz w:val="32"/>
          <w:szCs w:val="32"/>
        </w:rPr>
        <w:t>九、国有资本经营预算财政拨款支出决算表</w:t>
      </w:r>
    </w:p>
    <w:p w14:paraId="1AC8AF05">
      <w:pPr>
        <w:widowControl/>
        <w:spacing w:line="580" w:lineRule="exact"/>
        <w:ind w:left="640" w:firstLine="640" w:firstLineChars="200"/>
        <w:rPr>
          <w:rFonts w:eastAsia="仿宋_GB2312"/>
          <w:sz w:val="32"/>
          <w:szCs w:val="32"/>
        </w:rPr>
      </w:pPr>
      <w:r>
        <w:rPr>
          <w:rFonts w:hint="eastAsia" w:eastAsia="仿宋_GB2312" w:cs="仿宋_GB2312"/>
          <w:sz w:val="32"/>
          <w:szCs w:val="32"/>
        </w:rPr>
        <w:t>十、政府采购情况表</w:t>
      </w:r>
    </w:p>
    <w:p w14:paraId="7C378D3F">
      <w:pPr>
        <w:widowControl/>
        <w:spacing w:line="580" w:lineRule="exact"/>
        <w:ind w:firstLine="640" w:firstLineChars="200"/>
        <w:rPr>
          <w:rFonts w:eastAsia="黑体"/>
          <w:sz w:val="32"/>
          <w:szCs w:val="32"/>
        </w:rPr>
      </w:pPr>
    </w:p>
    <w:p w14:paraId="030BE291">
      <w:pPr>
        <w:widowControl/>
        <w:spacing w:line="580" w:lineRule="exact"/>
        <w:ind w:firstLine="640" w:firstLineChars="200"/>
        <w:rPr>
          <w:rFonts w:eastAsia="黑体"/>
          <w:sz w:val="32"/>
          <w:szCs w:val="32"/>
        </w:rPr>
      </w:pPr>
      <w:r>
        <w:rPr>
          <w:rFonts w:hint="eastAsia" w:eastAsia="黑体" w:cs="黑体"/>
          <w:sz w:val="32"/>
          <w:szCs w:val="32"/>
        </w:rPr>
        <w:t>第三部分</w:t>
      </w:r>
      <w:r>
        <w:rPr>
          <w:rFonts w:eastAsia="黑体"/>
          <w:sz w:val="32"/>
          <w:szCs w:val="32"/>
        </w:rPr>
        <w:t xml:space="preserve"> </w:t>
      </w:r>
      <w:r>
        <w:rPr>
          <w:rFonts w:hint="eastAsia" w:eastAsia="黑体"/>
          <w:sz w:val="32"/>
          <w:szCs w:val="32"/>
        </w:rPr>
        <w:t>高邑县粮食局</w:t>
      </w:r>
      <w:r>
        <w:rPr>
          <w:rFonts w:eastAsia="黑体"/>
          <w:sz w:val="32"/>
          <w:szCs w:val="32"/>
        </w:rPr>
        <w:t>2018</w:t>
      </w:r>
      <w:r>
        <w:rPr>
          <w:rFonts w:hint="eastAsia" w:eastAsia="黑体" w:cs="黑体"/>
          <w:sz w:val="32"/>
          <w:szCs w:val="32"/>
        </w:rPr>
        <w:t>年部门决算情况说明</w:t>
      </w:r>
      <w:r>
        <mc:AlternateContent>
          <mc:Choice Requires="wpg">
            <w:drawing>
              <wp:anchor distT="0" distB="0" distL="114300" distR="114300" simplePos="0" relativeHeight="251672576" behindDoc="0" locked="1" layoutInCell="1" allowOverlap="1">
                <wp:simplePos x="0" y="0"/>
                <wp:positionH relativeFrom="column">
                  <wp:posOffset>-1026160</wp:posOffset>
                </wp:positionH>
                <wp:positionV relativeFrom="page">
                  <wp:posOffset>494665</wp:posOffset>
                </wp:positionV>
                <wp:extent cx="2829560" cy="593090"/>
                <wp:effectExtent l="3810" t="0" r="5080" b="16510"/>
                <wp:wrapNone/>
                <wp:docPr id="20" name="组合 7"/>
                <wp:cNvGraphicFramePr/>
                <a:graphic xmlns:a="http://schemas.openxmlformats.org/drawingml/2006/main">
                  <a:graphicData uri="http://schemas.microsoft.com/office/word/2010/wordprocessingGroup">
                    <wpg:wgp>
                      <wpg:cNvGrpSpPr/>
                      <wpg:grpSpPr>
                        <a:xfrm>
                          <a:off x="0" y="0"/>
                          <a:ext cx="2829560" cy="593090"/>
                          <a:chOff x="4551" y="52615"/>
                          <a:chExt cx="8546" cy="1398"/>
                        </a:xfrm>
                      </wpg:grpSpPr>
                      <wps:wsp>
                        <wps:cNvPr id="18" name="矩形 13"/>
                        <wps:cNvSpPr/>
                        <wps:spPr>
                          <a:xfrm>
                            <a:off x="4551" y="52615"/>
                            <a:ext cx="8546" cy="1175"/>
                          </a:xfrm>
                          <a:prstGeom prst="rect">
                            <a:avLst/>
                          </a:prstGeom>
                          <a:solidFill>
                            <a:srgbClr val="D9D9D9"/>
                          </a:solidFill>
                          <a:ln w="25400">
                            <a:noFill/>
                          </a:ln>
                        </wps:spPr>
                        <wps:bodyPr anchor="ctr" upright="1"/>
                      </wps:wsp>
                      <wps:wsp>
                        <wps:cNvPr id="19" name="矩形 14"/>
                        <wps:cNvSpPr/>
                        <wps:spPr>
                          <a:xfrm>
                            <a:off x="4577" y="52890"/>
                            <a:ext cx="8324" cy="1123"/>
                          </a:xfrm>
                          <a:prstGeom prst="rect">
                            <a:avLst/>
                          </a:prstGeom>
                          <a:solidFill>
                            <a:srgbClr val="AD002D"/>
                          </a:solidFill>
                          <a:ln w="25400" cap="flat" cmpd="sng">
                            <a:solidFill>
                              <a:srgbClr val="B0761F"/>
                            </a:solidFill>
                            <a:prstDash val="solid"/>
                            <a:round/>
                            <a:headEnd type="none" w="med" len="med"/>
                            <a:tailEnd type="none" w="med" len="med"/>
                          </a:ln>
                        </wps:spPr>
                        <wps:txbx>
                          <w:txbxContent>
                            <w:p w14:paraId="6765CFD9">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目</w:t>
                              </w:r>
                              <w:r>
                                <w:rPr>
                                  <w:rFonts w:ascii="楷体" w:hAnsi="楷体" w:eastAsia="楷体" w:cs="楷体"/>
                                  <w:b/>
                                  <w:bCs/>
                                  <w:color w:val="FDEFBE"/>
                                  <w:kern w:val="0"/>
                                  <w:sz w:val="32"/>
                                  <w:szCs w:val="32"/>
                                </w:rPr>
                                <w:t xml:space="preserve"> </w:t>
                              </w:r>
                              <w:r>
                                <w:rPr>
                                  <w:rFonts w:hint="eastAsia" w:ascii="楷体" w:hAnsi="楷体" w:eastAsia="楷体" w:cs="楷体"/>
                                  <w:b/>
                                  <w:bCs/>
                                  <w:color w:val="FDEFBE"/>
                                  <w:kern w:val="0"/>
                                  <w:sz w:val="32"/>
                                  <w:szCs w:val="32"/>
                                </w:rPr>
                                <w:t>录</w:t>
                              </w:r>
                            </w:p>
                            <w:p w14:paraId="19DE60AF">
                              <w:pPr>
                                <w:jc w:val="center"/>
                              </w:pPr>
                            </w:p>
                          </w:txbxContent>
                        </wps:txbx>
                        <wps:bodyPr anchor="ctr" upright="1"/>
                      </wps:wsp>
                    </wpg:wgp>
                  </a:graphicData>
                </a:graphic>
              </wp:anchor>
            </w:drawing>
          </mc:Choice>
          <mc:Fallback>
            <w:pict>
              <v:group id="组合 7" o:spid="_x0000_s1026" o:spt="203" style="position:absolute;left:0pt;margin-left:-80.8pt;margin-top:38.95pt;height:46.7pt;width:222.8pt;mso-position-vertical-relative:page;z-index:251672576;mso-width-relative:page;mso-height-relative:page;" coordorigin="4551,52615" coordsize="8546,1398"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">
                <o:lock v:ext="edit" aspectratio="f"/>
                <v:rect id="矩形 13" o:spid="_x0000_s1026" o:spt="1" style="position:absolute;left:4551;top:52615;height:1175;width:8546;v-text-anchor:middle;" fillcolor="#D9D9D9" filled="t" stroked="f" coordsize="21600,21600" o:gfxdata="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zq4L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9d9ZgLoAAADb&#10;AAAADwAAAGRycy9kb3ducmV2LnhtbEVPTWvCQBC9F/wPywi91V09pGnqKigoPVq1eh2y0ySYnQ27&#10;a2L+fbdQ6G0e73OW64dtRU8+NI41zGcKBHHpTMOVhvNp95KDCBHZYOuYNIwUYL2aPC2xMG7gT+qP&#10;sRIphEOBGuoYu0LKUNZkMcxcR5y4b+ctxgR9JY3HIYXbVi6UyqTFhlNDjR1taypvx7vVkB02W1ee&#10;8v3FXxt1cPfdmL9+af08nat3EJEe8V/85/4waf4b/P6SDpCr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131mAugAAANsA&#10;AAAPAAAAAAAAAAEAIAAAACIAAABkcnMvZG93bnJldi54bWxQSwECFAAUAAAACACHTuJAMy8FnjsA&#10;AAA5AAAAEAAAAAAAAAABACAAAAAJAQAAZHJzL3NoYXBleG1sLnhtbFBLBQYAAAAABgAGAFsBAACz&#10;AwAAAAA=&#10;">
                  <v:fill on="t" focussize="0,0"/>
                  <v:stroke weight="2pt" color="#B0761F" joinstyle="round"/>
                  <v:imagedata o:title=""/>
                  <o:lock v:ext="edit" aspectratio="f"/>
                  <v:textbox>
                    <w:txbxContent>
                      <w:p w14:paraId="6765CFD9">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目</w:t>
                        </w:r>
                        <w:r>
                          <w:rPr>
                            <w:rFonts w:ascii="楷体" w:hAnsi="楷体" w:eastAsia="楷体" w:cs="楷体"/>
                            <w:b/>
                            <w:bCs/>
                            <w:color w:val="FDEFBE"/>
                            <w:kern w:val="0"/>
                            <w:sz w:val="32"/>
                            <w:szCs w:val="32"/>
                          </w:rPr>
                          <w:t xml:space="preserve"> </w:t>
                        </w:r>
                        <w:r>
                          <w:rPr>
                            <w:rFonts w:hint="eastAsia" w:ascii="楷体" w:hAnsi="楷体" w:eastAsia="楷体" w:cs="楷体"/>
                            <w:b/>
                            <w:bCs/>
                            <w:color w:val="FDEFBE"/>
                            <w:kern w:val="0"/>
                            <w:sz w:val="32"/>
                            <w:szCs w:val="32"/>
                          </w:rPr>
                          <w:t>录</w:t>
                        </w:r>
                      </w:p>
                      <w:p w14:paraId="19DE60AF">
                        <w:pPr>
                          <w:jc w:val="center"/>
                        </w:pPr>
                      </w:p>
                    </w:txbxContent>
                  </v:textbox>
                </v:rect>
                <w10:anchorlock/>
              </v:group>
            </w:pict>
          </mc:Fallback>
        </mc:AlternateContent>
      </w:r>
    </w:p>
    <w:p w14:paraId="1E4F2AAA">
      <w:pPr>
        <w:widowControl/>
        <w:spacing w:line="580" w:lineRule="exact"/>
        <w:ind w:left="640" w:firstLine="640" w:firstLineChars="200"/>
        <w:rPr>
          <w:rFonts w:eastAsia="仿宋_GB2312"/>
          <w:sz w:val="32"/>
          <w:szCs w:val="32"/>
        </w:rPr>
      </w:pPr>
      <w:r>
        <w:rPr>
          <w:rFonts w:hint="eastAsia" w:eastAsia="仿宋_GB2312" w:cs="仿宋_GB2312"/>
          <w:sz w:val="32"/>
          <w:szCs w:val="32"/>
        </w:rPr>
        <w:t>一、收入支出决算总体情况说明</w:t>
      </w:r>
    </w:p>
    <w:p w14:paraId="735E68AC">
      <w:pPr>
        <w:widowControl/>
        <w:spacing w:line="580" w:lineRule="exact"/>
        <w:ind w:left="640" w:firstLine="640" w:firstLineChars="200"/>
        <w:rPr>
          <w:rFonts w:eastAsia="仿宋_GB2312"/>
          <w:sz w:val="32"/>
          <w:szCs w:val="32"/>
        </w:rPr>
      </w:pPr>
      <w:r>
        <w:rPr>
          <w:rFonts w:hint="eastAsia" w:eastAsia="仿宋_GB2312" w:cs="仿宋_GB2312"/>
          <w:sz w:val="32"/>
          <w:szCs w:val="32"/>
        </w:rPr>
        <w:t>二、收入决算情况说明</w:t>
      </w:r>
    </w:p>
    <w:p w14:paraId="2242A378">
      <w:pPr>
        <w:widowControl/>
        <w:spacing w:line="580" w:lineRule="exact"/>
        <w:ind w:left="640" w:firstLine="640" w:firstLineChars="200"/>
        <w:rPr>
          <w:rFonts w:eastAsia="仿宋_GB2312"/>
          <w:sz w:val="32"/>
          <w:szCs w:val="32"/>
        </w:rPr>
      </w:pPr>
      <w:r>
        <w:rPr>
          <w:rFonts w:hint="eastAsia" w:eastAsia="仿宋_GB2312" w:cs="仿宋_GB2312"/>
          <w:sz w:val="32"/>
          <w:szCs w:val="32"/>
        </w:rPr>
        <w:t>三、支出决算情况说明</w:t>
      </w:r>
    </w:p>
    <w:p w14:paraId="372F93AD">
      <w:pPr>
        <w:widowControl/>
        <w:spacing w:line="580" w:lineRule="exact"/>
        <w:ind w:left="640" w:firstLine="640" w:firstLineChars="200"/>
        <w:rPr>
          <w:rFonts w:eastAsia="仿宋_GB2312"/>
          <w:sz w:val="32"/>
          <w:szCs w:val="32"/>
        </w:rPr>
      </w:pPr>
      <w:r>
        <w:rPr>
          <w:rFonts w:hint="eastAsia" w:eastAsia="仿宋_GB2312" w:cs="仿宋_GB2312"/>
          <w:sz w:val="32"/>
          <w:szCs w:val="32"/>
        </w:rPr>
        <w:t>四、财政拨款收入支出决算情况说明</w:t>
      </w:r>
    </w:p>
    <w:p w14:paraId="231B9624">
      <w:pPr>
        <w:widowControl/>
        <w:spacing w:line="580" w:lineRule="exact"/>
        <w:ind w:left="640" w:firstLine="640" w:firstLineChars="200"/>
        <w:rPr>
          <w:rFonts w:eastAsia="仿宋_GB2312"/>
          <w:sz w:val="32"/>
          <w:szCs w:val="32"/>
        </w:rPr>
      </w:pPr>
      <w:r>
        <w:rPr>
          <w:rFonts w:hint="eastAsia" w:eastAsia="仿宋_GB2312" w:cs="仿宋_GB2312"/>
          <w:sz w:val="32"/>
          <w:szCs w:val="32"/>
        </w:rPr>
        <w:t>五、一般公共预算财政拨款</w:t>
      </w:r>
      <w:r>
        <w:rPr>
          <w:rFonts w:eastAsia="仿宋_GB2312"/>
          <w:sz w:val="32"/>
          <w:szCs w:val="32"/>
        </w:rPr>
        <w:t>“</w:t>
      </w:r>
      <w:r>
        <w:rPr>
          <w:rFonts w:hint="eastAsia" w:eastAsia="仿宋_GB2312" w:cs="仿宋_GB2312"/>
          <w:sz w:val="32"/>
          <w:szCs w:val="32"/>
        </w:rPr>
        <w:t>三公</w:t>
      </w:r>
      <w:r>
        <w:rPr>
          <w:rFonts w:eastAsia="仿宋_GB2312"/>
          <w:sz w:val="32"/>
          <w:szCs w:val="32"/>
        </w:rPr>
        <w:t>”</w:t>
      </w:r>
      <w:r>
        <w:rPr>
          <w:rFonts w:hint="eastAsia" w:eastAsia="仿宋_GB2312" w:cs="仿宋_GB2312"/>
          <w:sz w:val="32"/>
          <w:szCs w:val="32"/>
        </w:rPr>
        <w:t>经费支出决算情况说明</w:t>
      </w:r>
    </w:p>
    <w:p w14:paraId="19CD0D2B">
      <w:pPr>
        <w:widowControl/>
        <w:spacing w:line="580" w:lineRule="exact"/>
        <w:ind w:left="640" w:firstLine="640" w:firstLineChars="200"/>
        <w:rPr>
          <w:rFonts w:eastAsia="仿宋_GB2312"/>
          <w:sz w:val="32"/>
          <w:szCs w:val="32"/>
        </w:rPr>
      </w:pPr>
      <w:r>
        <w:rPr>
          <w:rFonts w:hint="eastAsia" w:eastAsia="仿宋_GB2312" w:cs="仿宋_GB2312"/>
          <w:sz w:val="32"/>
          <w:szCs w:val="32"/>
        </w:rPr>
        <w:t>六、预算绩效情况说明</w:t>
      </w:r>
    </w:p>
    <w:p w14:paraId="16CA81FE">
      <w:pPr>
        <w:widowControl/>
        <w:spacing w:line="580" w:lineRule="exact"/>
        <w:ind w:left="640" w:firstLine="640" w:firstLineChars="200"/>
        <w:rPr>
          <w:rFonts w:eastAsia="仿宋_GB2312"/>
          <w:sz w:val="32"/>
          <w:szCs w:val="32"/>
        </w:rPr>
      </w:pPr>
      <w:r>
        <w:rPr>
          <w:rFonts w:hint="eastAsia" w:eastAsia="仿宋_GB2312" w:cs="仿宋_GB2312"/>
          <w:sz w:val="32"/>
          <w:szCs w:val="32"/>
        </w:rPr>
        <w:t>七、其他重要事项的说明</w:t>
      </w:r>
    </w:p>
    <w:p w14:paraId="0AD7FBA9">
      <w:pPr>
        <w:widowControl/>
        <w:spacing w:line="580" w:lineRule="exact"/>
        <w:ind w:firstLine="640" w:firstLineChars="200"/>
        <w:rPr>
          <w:rFonts w:eastAsia="黑体"/>
          <w:sz w:val="32"/>
          <w:szCs w:val="32"/>
        </w:rPr>
      </w:pPr>
      <w:r>
        <w:rPr>
          <w:rFonts w:hint="eastAsia" w:eastAsia="黑体" w:cs="黑体"/>
          <w:sz w:val="32"/>
          <w:szCs w:val="32"/>
        </w:rPr>
        <w:t>第四部分</w:t>
      </w:r>
      <w:r>
        <w:rPr>
          <w:rFonts w:eastAsia="黑体"/>
          <w:sz w:val="32"/>
          <w:szCs w:val="32"/>
        </w:rPr>
        <w:t xml:space="preserve">  </w:t>
      </w:r>
      <w:r>
        <w:rPr>
          <w:rFonts w:hint="eastAsia" w:eastAsia="黑体" w:cs="黑体"/>
          <w:sz w:val="32"/>
          <w:szCs w:val="32"/>
        </w:rPr>
        <w:t>名词解释</w:t>
      </w:r>
    </w:p>
    <w:p w14:paraId="6AA1853E">
      <w:pPr>
        <w:widowControl/>
        <w:spacing w:line="580" w:lineRule="exact"/>
        <w:ind w:firstLine="640" w:firstLineChars="200"/>
        <w:rPr>
          <w:rFonts w:eastAsia="黑体"/>
          <w:sz w:val="32"/>
          <w:szCs w:val="32"/>
        </w:rPr>
      </w:pPr>
    </w:p>
    <w:p w14:paraId="28752E6B">
      <w:pPr>
        <w:widowControl/>
        <w:spacing w:line="580" w:lineRule="exact"/>
        <w:ind w:firstLine="640" w:firstLineChars="200"/>
        <w:rPr>
          <w:rFonts w:eastAsia="黑体"/>
          <w:sz w:val="32"/>
          <w:szCs w:val="32"/>
        </w:rPr>
      </w:pPr>
    </w:p>
    <w:p w14:paraId="7715E93E">
      <w:pPr>
        <w:widowControl/>
        <w:spacing w:line="580" w:lineRule="exact"/>
        <w:ind w:firstLine="640" w:firstLineChars="200"/>
        <w:rPr>
          <w:rFonts w:eastAsia="黑体"/>
          <w:sz w:val="32"/>
          <w:szCs w:val="32"/>
        </w:rPr>
      </w:pPr>
    </w:p>
    <w:p w14:paraId="1841D8E6">
      <w:pPr>
        <w:widowControl/>
        <w:spacing w:line="580" w:lineRule="exact"/>
        <w:ind w:firstLine="640" w:firstLineChars="200"/>
        <w:rPr>
          <w:rFonts w:eastAsia="黑体"/>
          <w:sz w:val="32"/>
          <w:szCs w:val="32"/>
        </w:rPr>
      </w:pPr>
    </w:p>
    <w:p w14:paraId="6724EF62">
      <w:r>
        <w:br w:type="page"/>
      </w:r>
    </w:p>
    <w:p w14:paraId="26B38AA0">
      <w:r>
        <w:drawing>
          <wp:anchor distT="0" distB="0" distL="114300" distR="114300" simplePos="0" relativeHeight="251661312" behindDoc="1" locked="1"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3"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2" descr="2"/>
                    <pic:cNvPicPr>
                      <a:picLocks noChangeAspect="1"/>
                    </pic:cNvPicPr>
                  </pic:nvPicPr>
                  <pic:blipFill>
                    <a:blip r:embed="rId7"/>
                    <a:stretch>
                      <a:fillRect/>
                    </a:stretch>
                  </pic:blipFill>
                  <pic:spPr>
                    <a:xfrm>
                      <a:off x="0" y="0"/>
                      <a:ext cx="7585710" cy="10727055"/>
                    </a:xfrm>
                    <a:prstGeom prst="rect">
                      <a:avLst/>
                    </a:prstGeom>
                    <a:noFill/>
                    <a:ln>
                      <a:noFill/>
                    </a:ln>
                  </pic:spPr>
                </pic:pic>
              </a:graphicData>
            </a:graphic>
          </wp:anchor>
        </w:drawing>
      </w:r>
      <w:r>
        <mc:AlternateContent>
          <mc:Choice Requires="wps">
            <w:drawing>
              <wp:anchor distT="0" distB="0" distL="114300" distR="114300" simplePos="0" relativeHeight="251670528" behindDoc="0" locked="1" layoutInCell="1" allowOverlap="1">
                <wp:simplePos x="0" y="0"/>
                <wp:positionH relativeFrom="column">
                  <wp:posOffset>-1235710</wp:posOffset>
                </wp:positionH>
                <wp:positionV relativeFrom="paragraph">
                  <wp:posOffset>3290570</wp:posOffset>
                </wp:positionV>
                <wp:extent cx="7793355" cy="1037590"/>
                <wp:effectExtent l="0" t="0" r="0" b="0"/>
                <wp:wrapNone/>
                <wp:docPr id="14" name="文本框 11"/>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wps:spPr>
                      <wps:txbx>
                        <w:txbxContent>
                          <w:p w14:paraId="46BA8E9C">
                            <w:pPr>
                              <w:widowControl/>
                              <w:jc w:val="center"/>
                              <w:rPr>
                                <w:color w:val="FDEFBE"/>
                                <w:sz w:val="96"/>
                                <w:szCs w:val="96"/>
                              </w:rPr>
                            </w:pPr>
                            <w:r>
                              <w:rPr>
                                <w:rFonts w:hint="eastAsia" w:ascii="黑体" w:hAnsi="宋体" w:eastAsia="黑体" w:cs="黑体"/>
                                <w:color w:val="FDEFBE"/>
                                <w:sz w:val="96"/>
                                <w:szCs w:val="96"/>
                              </w:rPr>
                              <w:t>第一部分</w:t>
                            </w:r>
                            <w:r>
                              <w:rPr>
                                <w:rFonts w:ascii="黑体" w:hAnsi="宋体" w:eastAsia="黑体" w:cs="黑体"/>
                                <w:color w:val="FDEFBE"/>
                                <w:sz w:val="96"/>
                                <w:szCs w:val="96"/>
                              </w:rPr>
                              <w:t xml:space="preserve">  </w:t>
                            </w:r>
                            <w:r>
                              <w:rPr>
                                <w:rFonts w:hint="eastAsia" w:ascii="黑体" w:hAnsi="宋体" w:eastAsia="黑体" w:cs="黑体"/>
                                <w:color w:val="FDEFBE"/>
                                <w:sz w:val="96"/>
                                <w:szCs w:val="96"/>
                              </w:rPr>
                              <w:t>部门概况</w:t>
                            </w:r>
                          </w:p>
                        </w:txbxContent>
                      </wps:txbx>
                      <wps:bodyPr upright="1"/>
                    </wps:wsp>
                  </a:graphicData>
                </a:graphic>
              </wp:anchor>
            </w:drawing>
          </mc:Choice>
          <mc:Fallback>
            <w:pict>
              <v:shape id="文本框 11" o:spid="_x0000_s1026" o:spt="202" type="#_x0000_t202" style="position:absolute;left:0pt;margin-left:-97.3pt;margin-top:259.1pt;height:81.7pt;width:613.65pt;z-index:251670528;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qIrDqd4AAAANAQAADwAAAAAAAAABACAAAAAiAAAAZHJzL2Rvd25yZXYueG1s&#10;UEsBAhQAFAAAAAgAh07iQAbVuaS5AQAAWgMAAA4AAAAAAAAAAQAgAAAALQEAAGRycy9lMm9Eb2Mu&#10;eG1sUEsFBgAAAAAGAAYAWQEAAFgFAAAAAA==&#10;">
                <v:fill on="f" focussize="0,0"/>
                <v:stroke on="f" weight="0.5pt"/>
                <v:imagedata o:title=""/>
                <o:lock v:ext="edit" aspectratio="f"/>
                <v:textbox>
                  <w:txbxContent>
                    <w:p w14:paraId="46BA8E9C">
                      <w:pPr>
                        <w:widowControl/>
                        <w:jc w:val="center"/>
                        <w:rPr>
                          <w:color w:val="FDEFBE"/>
                          <w:sz w:val="96"/>
                          <w:szCs w:val="96"/>
                        </w:rPr>
                      </w:pPr>
                      <w:r>
                        <w:rPr>
                          <w:rFonts w:hint="eastAsia" w:ascii="黑体" w:hAnsi="宋体" w:eastAsia="黑体" w:cs="黑体"/>
                          <w:color w:val="FDEFBE"/>
                          <w:sz w:val="96"/>
                          <w:szCs w:val="96"/>
                        </w:rPr>
                        <w:t>第一部分</w:t>
                      </w:r>
                      <w:r>
                        <w:rPr>
                          <w:rFonts w:ascii="黑体" w:hAnsi="宋体" w:eastAsia="黑体" w:cs="黑体"/>
                          <w:color w:val="FDEFBE"/>
                          <w:sz w:val="96"/>
                          <w:szCs w:val="96"/>
                        </w:rPr>
                        <w:t xml:space="preserve">  </w:t>
                      </w:r>
                      <w:r>
                        <w:rPr>
                          <w:rFonts w:hint="eastAsia" w:ascii="黑体" w:hAnsi="宋体" w:eastAsia="黑体" w:cs="黑体"/>
                          <w:color w:val="FDEFBE"/>
                          <w:sz w:val="96"/>
                          <w:szCs w:val="96"/>
                        </w:rPr>
                        <w:t>部门概况</w:t>
                      </w:r>
                    </w:p>
                  </w:txbxContent>
                </v:textbox>
                <w10:anchorlock/>
              </v:shape>
            </w:pict>
          </mc:Fallback>
        </mc:AlternateContent>
      </w:r>
    </w:p>
    <w:p w14:paraId="3AFF8F35"/>
    <w:p w14:paraId="14E350EC"/>
    <w:p w14:paraId="735B72A7"/>
    <w:p w14:paraId="04FD471C"/>
    <w:p w14:paraId="1A1056C1"/>
    <w:p w14:paraId="1A4D3EFE"/>
    <w:p w14:paraId="53744218"/>
    <w:p w14:paraId="71B7A995"/>
    <w:p w14:paraId="3397CD82"/>
    <w:p w14:paraId="603FBC39"/>
    <w:p w14:paraId="598896DD"/>
    <w:p w14:paraId="19B15E2F"/>
    <w:p w14:paraId="196EA753"/>
    <w:p w14:paraId="5BD2AF44"/>
    <w:p w14:paraId="02A59207"/>
    <w:p w14:paraId="5727AA7E">
      <w:pPr>
        <w:pStyle w:val="2"/>
        <w:spacing w:before="0" w:after="0" w:line="600" w:lineRule="exact"/>
        <w:jc w:val="left"/>
        <w:rPr>
          <w:rFonts w:ascii="黑体" w:hAnsi="Cambria" w:eastAsia="黑体"/>
          <w:b w:val="0"/>
          <w:bCs w:val="0"/>
          <w:kern w:val="0"/>
          <w:sz w:val="32"/>
          <w:szCs w:val="32"/>
        </w:rPr>
      </w:pPr>
      <w:r>
        <mc:AlternateContent>
          <mc:Choice Requires="wpg">
            <w:drawing>
              <wp:anchor distT="0" distB="0" distL="114300" distR="114300" simplePos="0" relativeHeight="251662336" behindDoc="0" locked="1" layoutInCell="1" allowOverlap="1">
                <wp:simplePos x="0" y="0"/>
                <wp:positionH relativeFrom="column">
                  <wp:posOffset>-1026160</wp:posOffset>
                </wp:positionH>
                <wp:positionV relativeFrom="page">
                  <wp:posOffset>501650</wp:posOffset>
                </wp:positionV>
                <wp:extent cx="3114675" cy="593090"/>
                <wp:effectExtent l="3175" t="0" r="6350" b="16510"/>
                <wp:wrapNone/>
                <wp:docPr id="6" name="组合 12"/>
                <wp:cNvGraphicFramePr/>
                <a:graphic xmlns:a="http://schemas.openxmlformats.org/drawingml/2006/main">
                  <a:graphicData uri="http://schemas.microsoft.com/office/word/2010/wordprocessingGroup">
                    <wpg:wgp>
                      <wpg:cNvGrpSpPr/>
                      <wpg:grpSpPr>
                        <a:xfrm>
                          <a:off x="0" y="0"/>
                          <a:ext cx="3114675" cy="593090"/>
                          <a:chOff x="4551" y="52615"/>
                          <a:chExt cx="8546" cy="1398"/>
                        </a:xfrm>
                      </wpg:grpSpPr>
                      <wps:wsp>
                        <wps:cNvPr id="4" name="矩形 13"/>
                        <wps:cNvSpPr/>
                        <wps:spPr>
                          <a:xfrm>
                            <a:off x="4551" y="52615"/>
                            <a:ext cx="8546" cy="1175"/>
                          </a:xfrm>
                          <a:prstGeom prst="rect">
                            <a:avLst/>
                          </a:prstGeom>
                          <a:solidFill>
                            <a:srgbClr val="D9D9D9"/>
                          </a:solidFill>
                          <a:ln w="25400">
                            <a:noFill/>
                          </a:ln>
                        </wps:spPr>
                        <wps:bodyPr anchor="ctr" upright="1"/>
                      </wps:wsp>
                      <wps:wsp>
                        <wps:cNvPr id="5" name="矩形 14"/>
                        <wps:cNvSpPr/>
                        <wps:spPr>
                          <a:xfrm>
                            <a:off x="4577" y="52890"/>
                            <a:ext cx="8324" cy="1123"/>
                          </a:xfrm>
                          <a:prstGeom prst="rect">
                            <a:avLst/>
                          </a:prstGeom>
                          <a:solidFill>
                            <a:srgbClr val="AD002D"/>
                          </a:solidFill>
                          <a:ln w="25400" cap="flat" cmpd="sng">
                            <a:solidFill>
                              <a:srgbClr val="B0761F"/>
                            </a:solidFill>
                            <a:prstDash val="solid"/>
                            <a:round/>
                            <a:headEnd type="none" w="med" len="med"/>
                            <a:tailEnd type="none" w="med" len="med"/>
                          </a:ln>
                        </wps:spPr>
                        <wps:txbx>
                          <w:txbxContent>
                            <w:p w14:paraId="40BF1FAE">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部门概况</w:t>
                              </w:r>
                            </w:p>
                            <w:p w14:paraId="1DAA282A">
                              <w:pPr>
                                <w:jc w:val="center"/>
                              </w:pPr>
                            </w:p>
                          </w:txbxContent>
                        </wps:txbx>
                        <wps:bodyPr anchor="ctr" upright="1"/>
                      </wps:wsp>
                    </wpg:wgp>
                  </a:graphicData>
                </a:graphic>
              </wp:anchor>
            </w:drawing>
          </mc:Choice>
          <mc:Fallback>
            <w:pict>
              <v:group id="组合 12" o:spid="_x0000_s1026" o:spt="203" style="position:absolute;left:0pt;margin-left:-80.8pt;margin-top:39.5pt;height:46.7pt;width:245.25pt;mso-position-vertical-relative:page;z-index:251662336;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">
                <o:lock v:ext="edit" aspectratio="f"/>
                <v:rect id="矩形 13" o:spid="_x0000_s1026" o:spt="1" style="position:absolute;left:4551;top:52615;height:1175;width:8546;v-text-anchor:middle;" fillcolor="#D9D9D9" filled="t" stroked="f" coordsize="21600,21600" o:gfxdata="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8etmrvQAA&#10;ANo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OUmfd7sAAADa&#10;AAAADwAAAGRycy9kb3ducmV2LnhtbEWPzWrDMBCE74W8g9hAb42UQFPjWA4kkNJjmt/rYm1tU2tl&#10;JMVO3r4qFHocZuYbpljfbScG8qF1rGE+UyCIK2darjWcjruXDESIyAY7x6ThQQHW5eSpwNy4kT9p&#10;OMRaJAiHHDU0Mfa5lKFqyGKYuZ44eV/OW4xJ+loaj2OC204ulFpKiy2nhQZ72jZUfR9uVsNyv9m6&#10;6pi9X/y1VXt32z2yt7PWz9O5WoGIdI//4b/2h9HwCr9X0g2Q5Q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Umfd7sAAADa&#10;AAAADwAAAAAAAAABACAAAAAiAAAAZHJzL2Rvd25yZXYueG1sUEsBAhQAFAAAAAgAh07iQDMvBZ47&#10;AAAAOQAAABAAAAAAAAAAAQAgAAAACgEAAGRycy9zaGFwZXhtbC54bWxQSwUGAAAAAAYABgBbAQAA&#10;tAMAAAAA&#10;">
                  <v:fill on="t" focussize="0,0"/>
                  <v:stroke weight="2pt" color="#B0761F" joinstyle="round"/>
                  <v:imagedata o:title=""/>
                  <o:lock v:ext="edit" aspectratio="f"/>
                  <v:textbox>
                    <w:txbxContent>
                      <w:p w14:paraId="40BF1FAE">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部门概况</w:t>
                        </w:r>
                      </w:p>
                      <w:p w14:paraId="1DAA282A">
                        <w:pPr>
                          <w:jc w:val="center"/>
                        </w:pPr>
                      </w:p>
                    </w:txbxContent>
                  </v:textbox>
                </v:rect>
                <w10:anchorlock/>
              </v:group>
            </w:pict>
          </mc:Fallback>
        </mc:AlternateContent>
      </w:r>
      <w:r>
        <w:rPr>
          <w:rFonts w:hint="eastAsia" w:ascii="黑体" w:hAnsi="Cambria" w:eastAsia="黑体" w:cs="黑体"/>
          <w:b w:val="0"/>
          <w:bCs w:val="0"/>
          <w:kern w:val="0"/>
          <w:sz w:val="32"/>
          <w:szCs w:val="32"/>
        </w:rPr>
        <w:t>一、部门职责</w:t>
      </w:r>
    </w:p>
    <w:p w14:paraId="2F83B838">
      <w:pPr>
        <w:pStyle w:val="11"/>
        <w:shd w:val="clear" w:color="auto" w:fill="F8FEFE"/>
        <w:spacing w:line="300" w:lineRule="atLeast"/>
        <w:ind w:left="660" w:firstLine="640" w:firstLineChars="200"/>
      </w:pPr>
      <w:r>
        <w:rPr>
          <w:rFonts w:hint="eastAsia" w:ascii="仿宋_GB2312" w:hAnsi="新宋体" w:eastAsia="仿宋_GB2312"/>
          <w:sz w:val="32"/>
          <w:szCs w:val="32"/>
        </w:rPr>
        <w:t>1、负责对全县粮食流通的管理，监督指导国有粮食企业执行国家粮食购销政策,推动全县粮食流通行业技术改造和新技术推广。</w:t>
      </w:r>
      <w:r>
        <w:rPr>
          <w:rFonts w:hint="eastAsia" w:ascii="仿宋_GB2312" w:hAnsi="新宋体" w:eastAsia="仿宋_GB2312"/>
          <w:sz w:val="32"/>
          <w:szCs w:val="32"/>
        </w:rPr>
        <w:br w:type="textWrapping"/>
      </w:r>
      <w:r>
        <w:rPr>
          <w:rFonts w:hint="eastAsia" w:ascii="仿宋_GB2312" w:hAnsi="新宋体" w:eastAsia="仿宋_GB2312"/>
          <w:sz w:val="32"/>
          <w:szCs w:val="32"/>
        </w:rPr>
        <w:t xml:space="preserve">    2、负责地方储备粮管理，增强全县粮食流通的宏观调控能力。</w:t>
      </w:r>
      <w:r>
        <w:rPr>
          <w:rFonts w:hint="eastAsia" w:ascii="仿宋_GB2312" w:hAnsi="新宋体" w:eastAsia="仿宋_GB2312"/>
          <w:sz w:val="32"/>
          <w:szCs w:val="32"/>
        </w:rPr>
        <w:br w:type="textWrapping"/>
      </w:r>
      <w:r>
        <w:rPr>
          <w:rFonts w:hint="eastAsia" w:ascii="仿宋_GB2312" w:hAnsi="新宋体" w:eastAsia="仿宋_GB2312"/>
          <w:sz w:val="32"/>
          <w:szCs w:val="32"/>
        </w:rPr>
        <w:t xml:space="preserve">    3、负责贯彻国家军粮供应政策，对我县军粮供应工作进行管理和监督，确保我县武警的粮油供应工作顺利开展。</w:t>
      </w:r>
      <w:r>
        <w:rPr>
          <w:rFonts w:hint="eastAsia" w:ascii="仿宋_GB2312" w:hAnsi="新宋体" w:eastAsia="仿宋_GB2312"/>
          <w:sz w:val="32"/>
          <w:szCs w:val="32"/>
        </w:rPr>
        <w:br w:type="textWrapping"/>
      </w:r>
      <w:r>
        <w:rPr>
          <w:rFonts w:hint="eastAsia" w:ascii="仿宋_GB2312" w:hAnsi="新宋体" w:eastAsia="仿宋_GB2312"/>
          <w:sz w:val="32"/>
          <w:szCs w:val="32"/>
        </w:rPr>
        <w:t xml:space="preserve">    4、拟定全县粮食流通发展规划和年度计划及粮食供应应急预案；制定全县粮食流通产业结构调整和布局调整实施意见。</w:t>
      </w:r>
      <w:r>
        <w:rPr>
          <w:rFonts w:hint="eastAsia" w:ascii="仿宋_GB2312" w:hAnsi="新宋体" w:eastAsia="仿宋_GB2312"/>
          <w:sz w:val="32"/>
          <w:szCs w:val="32"/>
        </w:rPr>
        <w:br w:type="textWrapping"/>
      </w:r>
      <w:r>
        <w:rPr>
          <w:rFonts w:hint="eastAsia" w:ascii="仿宋_GB2312" w:hAnsi="新宋体" w:eastAsia="仿宋_GB2312"/>
          <w:sz w:val="32"/>
          <w:szCs w:val="32"/>
        </w:rPr>
        <w:t xml:space="preserve">    5、培育完善粮食市场体系，组织指导全县粮食市场供应，指导全县粮食市场建设与管理，适时平抑市场粮价，维护粮食流通秩序。</w:t>
      </w:r>
      <w:r>
        <w:rPr>
          <w:rFonts w:hint="eastAsia" w:ascii="仿宋_GB2312" w:hAnsi="新宋体" w:eastAsia="仿宋_GB2312"/>
          <w:sz w:val="32"/>
          <w:szCs w:val="32"/>
        </w:rPr>
        <w:br w:type="textWrapping"/>
      </w:r>
      <w:r>
        <w:rPr>
          <w:rFonts w:hint="eastAsia" w:ascii="仿宋_GB2312" w:hAnsi="新宋体" w:eastAsia="仿宋_GB2312"/>
          <w:sz w:val="32"/>
          <w:szCs w:val="32"/>
        </w:rPr>
        <w:t xml:space="preserve">    6、根据有关法律、法规对粮食流通进行行政执法,对粮食经营者从事粮食收购、储存、运输活动和政策性用粮的购销活动，以及执行国家粮食流通统计制度的情况进行监督检查；对违反粮食流通有关法律法规的行为依法予以处罚；负责粮食收购许可证审批、核查。</w:t>
      </w:r>
      <w:r>
        <w:rPr>
          <w:rFonts w:hint="eastAsia" w:ascii="仿宋_GB2312" w:hAnsi="新宋体" w:eastAsia="仿宋_GB2312"/>
          <w:sz w:val="32"/>
          <w:szCs w:val="32"/>
        </w:rPr>
        <w:br w:type="textWrapping"/>
      </w:r>
      <w:r>
        <w:rPr>
          <w:rFonts w:hint="eastAsia" w:ascii="仿宋_GB2312" w:hAnsi="新宋体" w:eastAsia="仿宋_GB2312"/>
          <w:sz w:val="32"/>
          <w:szCs w:val="32"/>
        </w:rPr>
        <w:t xml:space="preserve">    7、负责指导全县粮油储存安全管理；执行国家粮油质量标准，落实粮油检验政策、制度和办法；对粮油质量进行检验监督；负责陈化粮处理的有关工作。</w:t>
      </w:r>
      <w:r>
        <w:rPr>
          <w:rFonts w:hint="eastAsia" w:ascii="仿宋_GB2312" w:hAnsi="新宋体" w:eastAsia="仿宋_GB2312"/>
          <w:sz w:val="32"/>
          <w:szCs w:val="32"/>
        </w:rPr>
        <w:br w:type="textWrapping"/>
      </w:r>
      <w:r>
        <w:rPr>
          <w:rFonts w:hint="eastAsia" w:ascii="仿宋_GB2312" w:hAnsi="新宋体" w:eastAsia="仿宋_GB2312"/>
          <w:sz w:val="32"/>
          <w:szCs w:val="32"/>
        </w:rPr>
        <w:t xml:space="preserve">    8、负责全县国有粮食企业财务管理、内部审计工作；负责所属粮食企业国有资产的管理。</w:t>
      </w:r>
      <w:r>
        <w:rPr>
          <w:rFonts w:hint="eastAsia" w:ascii="仿宋_GB2312" w:hAnsi="新宋体" w:eastAsia="仿宋_GB2312"/>
          <w:sz w:val="32"/>
          <w:szCs w:val="32"/>
        </w:rPr>
        <w:br w:type="textWrapping"/>
      </w:r>
      <w:r>
        <w:rPr>
          <w:rFonts w:hint="eastAsia" w:ascii="仿宋_GB2312" w:hAnsi="新宋体" w:eastAsia="仿宋_GB2312"/>
          <w:sz w:val="32"/>
          <w:szCs w:val="32"/>
        </w:rPr>
        <w:t xml:space="preserve">    9、组织实施国家粮油储备和粮油商品流通统计制度，汇总统计报表，搞好全社会粮食供需平衡调查工作。</w:t>
      </w:r>
      <w:r>
        <w:rPr>
          <w:rFonts w:hint="eastAsia" w:ascii="仿宋_GB2312" w:hAnsi="新宋体" w:eastAsia="仿宋_GB2312"/>
          <w:sz w:val="32"/>
          <w:szCs w:val="32"/>
        </w:rPr>
        <w:br w:type="textWrapping"/>
      </w:r>
      <w:r>
        <w:rPr>
          <w:rFonts w:hint="eastAsia" w:ascii="新宋体" w:hAnsi="新宋体" w:eastAsia="仿宋_GB2312"/>
          <w:sz w:val="32"/>
          <w:szCs w:val="32"/>
        </w:rPr>
        <w:t xml:space="preserve">  </w:t>
      </w:r>
      <w:r>
        <w:rPr>
          <w:rFonts w:hint="eastAsia" w:ascii="仿宋_GB2312" w:hAnsi="新宋体" w:eastAsia="仿宋_GB2312"/>
          <w:sz w:val="32"/>
          <w:szCs w:val="32"/>
        </w:rPr>
        <w:t>10、负责全系统精神文明建设。</w:t>
      </w:r>
      <w:r>
        <w:rPr>
          <w:rFonts w:hint="eastAsia" w:ascii="新宋体" w:hAnsi="新宋体" w:eastAsia="仿宋_GB2312"/>
          <w:sz w:val="32"/>
          <w:szCs w:val="32"/>
        </w:rPr>
        <w:t> </w:t>
      </w:r>
      <w:r>
        <w:rPr>
          <w:rFonts w:hint="eastAsia" w:ascii="仿宋_GB2312" w:hAnsi="新宋体" w:eastAsia="仿宋_GB2312"/>
          <w:sz w:val="32"/>
          <w:szCs w:val="32"/>
        </w:rPr>
        <w:br w:type="textWrapping"/>
      </w:r>
      <w:r>
        <w:rPr>
          <w:rFonts w:hint="eastAsia" w:ascii="新宋体" w:hAnsi="新宋体" w:eastAsia="仿宋_GB2312"/>
          <w:sz w:val="32"/>
          <w:szCs w:val="32"/>
        </w:rPr>
        <w:t xml:space="preserve">  </w:t>
      </w:r>
      <w:r>
        <w:rPr>
          <w:rFonts w:hint="eastAsia" w:ascii="仿宋_GB2312" w:hAnsi="新宋体" w:eastAsia="仿宋_GB2312"/>
          <w:sz w:val="32"/>
          <w:szCs w:val="32"/>
        </w:rPr>
        <w:t>11、承办</w:t>
      </w:r>
      <w:r>
        <w:rPr>
          <w:rFonts w:hint="eastAsia" w:ascii="仿宋_GB2312" w:hAnsi="新宋体" w:eastAsia="仿宋_GB2312"/>
          <w:sz w:val="32"/>
          <w:szCs w:val="32"/>
          <w:lang w:eastAsia="zh-CN"/>
        </w:rPr>
        <w:t>县委、县政府</w:t>
      </w:r>
      <w:r>
        <w:rPr>
          <w:rFonts w:hint="eastAsia" w:ascii="仿宋_GB2312" w:hAnsi="新宋体" w:eastAsia="仿宋_GB2312"/>
          <w:sz w:val="32"/>
          <w:szCs w:val="32"/>
        </w:rPr>
        <w:t>交办的其他事项。</w:t>
      </w:r>
    </w:p>
    <w:p w14:paraId="79A6A4DC">
      <w:pPr>
        <w:widowControl/>
        <w:spacing w:line="540" w:lineRule="exact"/>
        <w:ind w:firstLine="420" w:firstLineChars="200"/>
      </w:pPr>
    </w:p>
    <w:p w14:paraId="276F149D">
      <w:pPr>
        <w:pStyle w:val="2"/>
        <w:spacing w:before="0" w:after="0" w:line="600" w:lineRule="exact"/>
        <w:jc w:val="left"/>
        <w:rPr>
          <w:rFonts w:ascii="黑体" w:hAnsi="Cambria" w:eastAsia="黑体"/>
          <w:b w:val="0"/>
          <w:bCs w:val="0"/>
          <w:kern w:val="0"/>
          <w:sz w:val="32"/>
          <w:szCs w:val="32"/>
        </w:rPr>
      </w:pPr>
      <w:r>
        <w:rPr>
          <w:rFonts w:hint="eastAsia" w:ascii="黑体" w:hAnsi="Cambria" w:eastAsia="黑体" w:cs="黑体"/>
          <w:b w:val="0"/>
          <w:bCs w:val="0"/>
          <w:kern w:val="0"/>
          <w:sz w:val="32"/>
          <w:szCs w:val="32"/>
        </w:rPr>
        <w:t>二、机构设置</w:t>
      </w:r>
    </w:p>
    <w:p w14:paraId="50490867">
      <w:pPr>
        <w:spacing w:after="0" w:line="560" w:lineRule="exact"/>
        <w:rPr>
          <w:rFonts w:ascii="仿宋_GB2312" w:hAnsi="Cambria" w:eastAsia="仿宋_GB2312"/>
          <w:kern w:val="0"/>
          <w:sz w:val="32"/>
          <w:szCs w:val="32"/>
        </w:rPr>
      </w:pPr>
      <w:r>
        <w:rPr>
          <w:rFonts w:hint="eastAsia" w:ascii="仿宋_GB2312" w:hAnsi="Cambria" w:eastAsia="仿宋_GB2312" w:cs="仿宋_GB2312"/>
          <w:kern w:val="0"/>
          <w:sz w:val="32"/>
          <w:szCs w:val="32"/>
        </w:rPr>
        <w:t>从决算编报单位构成看，纳入</w:t>
      </w:r>
      <w:r>
        <w:rPr>
          <w:rFonts w:ascii="仿宋_GB2312" w:hAnsi="Cambria" w:eastAsia="仿宋_GB2312" w:cs="仿宋_GB2312"/>
          <w:kern w:val="0"/>
          <w:sz w:val="32"/>
          <w:szCs w:val="32"/>
        </w:rPr>
        <w:t xml:space="preserve">2018 </w:t>
      </w:r>
      <w:r>
        <w:rPr>
          <w:rFonts w:hint="eastAsia" w:ascii="仿宋_GB2312" w:hAnsi="Cambria" w:eastAsia="仿宋_GB2312" w:cs="仿宋_GB2312"/>
          <w:kern w:val="0"/>
          <w:sz w:val="32"/>
          <w:szCs w:val="32"/>
        </w:rPr>
        <w:t>年度本部门决算汇编范围的独立核算单位（以下简称“单位”）共</w:t>
      </w:r>
      <w:r>
        <w:rPr>
          <w:rFonts w:ascii="仿宋_GB2312" w:hAnsi="Cambria" w:eastAsia="仿宋_GB2312" w:cs="仿宋_GB2312"/>
          <w:kern w:val="0"/>
          <w:sz w:val="32"/>
          <w:szCs w:val="32"/>
        </w:rPr>
        <w:t xml:space="preserve"> 1</w:t>
      </w:r>
      <w:r>
        <w:rPr>
          <w:rFonts w:hint="eastAsia" w:ascii="仿宋_GB2312" w:hAnsi="Cambria" w:eastAsia="仿宋_GB2312" w:cs="仿宋_GB2312"/>
          <w:kern w:val="0"/>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584AD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48B6D968">
            <w:pPr>
              <w:spacing w:after="0" w:line="560" w:lineRule="exact"/>
              <w:jc w:val="center"/>
              <w:rPr>
                <w:rFonts w:ascii="仿宋_GB2312" w:hAnsi="Cambria" w:eastAsia="仿宋_GB2312"/>
                <w:b/>
                <w:bCs/>
                <w:kern w:val="0"/>
                <w:sz w:val="28"/>
                <w:szCs w:val="28"/>
              </w:rPr>
            </w:pPr>
            <w:r>
              <w:rPr>
                <w:rFonts w:hint="eastAsia" w:ascii="仿宋_GB2312" w:hAnsi="Cambria" w:eastAsia="仿宋_GB2312" w:cs="仿宋_GB2312"/>
                <w:b/>
                <w:bCs/>
                <w:kern w:val="0"/>
                <w:sz w:val="28"/>
                <w:szCs w:val="28"/>
              </w:rPr>
              <w:t>序号</w:t>
            </w:r>
          </w:p>
        </w:tc>
        <w:tc>
          <w:tcPr>
            <w:tcW w:w="3485" w:type="dxa"/>
            <w:vAlign w:val="center"/>
          </w:tcPr>
          <w:p w14:paraId="001E8B6B">
            <w:pPr>
              <w:spacing w:after="0" w:line="560" w:lineRule="exact"/>
              <w:jc w:val="center"/>
              <w:rPr>
                <w:rFonts w:ascii="仿宋_GB2312" w:hAnsi="Cambria" w:eastAsia="仿宋_GB2312"/>
                <w:b/>
                <w:bCs/>
                <w:kern w:val="0"/>
                <w:sz w:val="28"/>
                <w:szCs w:val="28"/>
              </w:rPr>
            </w:pPr>
            <w:r>
              <w:rPr>
                <w:rFonts w:hint="eastAsia" w:ascii="仿宋_GB2312" w:hAnsi="Cambria" w:eastAsia="仿宋_GB2312" w:cs="仿宋_GB2312"/>
                <w:b/>
                <w:bCs/>
                <w:kern w:val="0"/>
                <w:sz w:val="28"/>
                <w:szCs w:val="28"/>
              </w:rPr>
              <w:t>单位名称</w:t>
            </w:r>
          </w:p>
        </w:tc>
        <w:tc>
          <w:tcPr>
            <w:tcW w:w="2445" w:type="dxa"/>
            <w:vAlign w:val="center"/>
          </w:tcPr>
          <w:p w14:paraId="5070FAD8">
            <w:pPr>
              <w:spacing w:after="0" w:line="560" w:lineRule="exact"/>
              <w:jc w:val="center"/>
              <w:rPr>
                <w:rFonts w:ascii="仿宋_GB2312" w:hAnsi="Cambria" w:eastAsia="仿宋_GB2312"/>
                <w:b/>
                <w:bCs/>
                <w:kern w:val="0"/>
                <w:sz w:val="28"/>
                <w:szCs w:val="28"/>
              </w:rPr>
            </w:pPr>
            <w:r>
              <w:rPr>
                <w:rFonts w:hint="eastAsia" w:ascii="仿宋_GB2312" w:hAnsi="Cambria" w:eastAsia="仿宋_GB2312" w:cs="仿宋_GB2312"/>
                <w:b/>
                <w:bCs/>
                <w:kern w:val="0"/>
                <w:sz w:val="28"/>
                <w:szCs w:val="28"/>
              </w:rPr>
              <w:t>单位基本性质</w:t>
            </w:r>
          </w:p>
        </w:tc>
        <w:tc>
          <w:tcPr>
            <w:tcW w:w="2665" w:type="dxa"/>
            <w:vAlign w:val="center"/>
          </w:tcPr>
          <w:p w14:paraId="694DC8E8">
            <w:pPr>
              <w:spacing w:after="0" w:line="560" w:lineRule="exact"/>
              <w:jc w:val="center"/>
              <w:rPr>
                <w:rFonts w:ascii="仿宋_GB2312" w:hAnsi="Cambria" w:eastAsia="仿宋_GB2312"/>
                <w:b/>
                <w:bCs/>
                <w:kern w:val="0"/>
                <w:sz w:val="28"/>
                <w:szCs w:val="28"/>
              </w:rPr>
            </w:pPr>
            <w:r>
              <w:rPr>
                <w:rFonts w:hint="eastAsia" w:ascii="仿宋_GB2312" w:hAnsi="Cambria" w:eastAsia="仿宋_GB2312" w:cs="仿宋_GB2312"/>
                <w:b/>
                <w:bCs/>
                <w:kern w:val="0"/>
                <w:sz w:val="28"/>
                <w:szCs w:val="28"/>
              </w:rPr>
              <w:t>经费形式</w:t>
            </w:r>
          </w:p>
        </w:tc>
      </w:tr>
      <w:tr w14:paraId="53F7E1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425F1167">
            <w:pPr>
              <w:spacing w:after="0" w:line="560" w:lineRule="exact"/>
              <w:jc w:val="center"/>
              <w:rPr>
                <w:rFonts w:ascii="仿宋_GB2312" w:hAnsi="Cambria" w:eastAsia="仿宋_GB2312" w:cs="仿宋_GB2312"/>
                <w:kern w:val="0"/>
                <w:sz w:val="28"/>
                <w:szCs w:val="28"/>
              </w:rPr>
            </w:pPr>
            <w:r>
              <w:rPr>
                <w:rFonts w:ascii="仿宋_GB2312" w:hAnsi="Cambria" w:eastAsia="仿宋_GB2312" w:cs="仿宋_GB2312"/>
                <w:kern w:val="0"/>
                <w:sz w:val="28"/>
                <w:szCs w:val="28"/>
              </w:rPr>
              <w:t>1</w:t>
            </w:r>
          </w:p>
        </w:tc>
        <w:tc>
          <w:tcPr>
            <w:tcW w:w="3485" w:type="dxa"/>
          </w:tcPr>
          <w:p w14:paraId="36F9131A">
            <w:pPr>
              <w:spacing w:after="0" w:line="560" w:lineRule="exact"/>
              <w:rPr>
                <w:rFonts w:ascii="仿宋_GB2312" w:hAnsi="Cambria" w:eastAsia="仿宋_GB2312"/>
                <w:kern w:val="0"/>
                <w:sz w:val="28"/>
                <w:szCs w:val="28"/>
              </w:rPr>
            </w:pPr>
            <w:r>
              <w:rPr>
                <w:rFonts w:hint="eastAsia" w:ascii="仿宋_GB2312" w:eastAsia="仿宋_GB2312" w:cs="ArialUnicodeMS" w:hAnsiTheme="minorHAnsi"/>
                <w:kern w:val="0"/>
                <w:sz w:val="28"/>
                <w:szCs w:val="28"/>
              </w:rPr>
              <w:t>高邑县粮食局(本级)</w:t>
            </w:r>
          </w:p>
        </w:tc>
        <w:tc>
          <w:tcPr>
            <w:tcW w:w="2445" w:type="dxa"/>
          </w:tcPr>
          <w:p w14:paraId="4C8B54FD">
            <w:pPr>
              <w:spacing w:after="0" w:line="560" w:lineRule="exact"/>
              <w:jc w:val="center"/>
              <w:rPr>
                <w:rFonts w:ascii="仿宋_GB2312" w:hAnsi="Cambria" w:eastAsia="仿宋_GB2312"/>
                <w:kern w:val="0"/>
                <w:sz w:val="28"/>
                <w:szCs w:val="28"/>
              </w:rPr>
            </w:pPr>
            <w:r>
              <w:rPr>
                <w:rFonts w:hint="eastAsia" w:ascii="仿宋_GB2312" w:hAnsi="Cambria" w:eastAsia="仿宋_GB2312" w:cs="仿宋_GB2312"/>
                <w:kern w:val="0"/>
                <w:sz w:val="28"/>
                <w:szCs w:val="28"/>
              </w:rPr>
              <w:t>行政单位</w:t>
            </w:r>
          </w:p>
        </w:tc>
        <w:tc>
          <w:tcPr>
            <w:tcW w:w="2665" w:type="dxa"/>
          </w:tcPr>
          <w:p w14:paraId="268D782F">
            <w:pPr>
              <w:spacing w:after="0" w:line="560" w:lineRule="exact"/>
              <w:jc w:val="center"/>
              <w:rPr>
                <w:rFonts w:ascii="仿宋_GB2312" w:hAnsi="Cambria" w:eastAsia="仿宋_GB2312"/>
                <w:kern w:val="0"/>
                <w:sz w:val="28"/>
                <w:szCs w:val="28"/>
              </w:rPr>
            </w:pPr>
            <w:r>
              <w:rPr>
                <w:rFonts w:hint="eastAsia" w:ascii="仿宋_GB2312" w:hAnsi="Cambria" w:eastAsia="仿宋_GB2312" w:cs="仿宋_GB2312"/>
                <w:kern w:val="0"/>
                <w:sz w:val="28"/>
                <w:szCs w:val="28"/>
              </w:rPr>
              <w:t>财政拨款</w:t>
            </w:r>
          </w:p>
        </w:tc>
      </w:tr>
    </w:tbl>
    <w:p w14:paraId="11A313BB">
      <w:pPr>
        <w:spacing w:after="0" w:line="560" w:lineRule="exact"/>
        <w:rPr>
          <w:rFonts w:ascii="仿宋_GB2312" w:hAnsi="Cambria" w:eastAsia="仿宋_GB2312"/>
          <w:kern w:val="0"/>
          <w:sz w:val="32"/>
          <w:szCs w:val="32"/>
        </w:rPr>
      </w:pPr>
    </w:p>
    <w:p w14:paraId="25FC200F">
      <w:pPr>
        <w:widowControl/>
        <w:spacing w:line="560" w:lineRule="exact"/>
        <w:jc w:val="center"/>
        <w:rPr>
          <w:rFonts w:ascii="黑体" w:hAnsi="Cambria" w:eastAsia="黑体"/>
          <w:kern w:val="0"/>
          <w:sz w:val="52"/>
          <w:szCs w:val="52"/>
        </w:rPr>
      </w:pPr>
    </w:p>
    <w:p w14:paraId="08983BE0">
      <w:pPr>
        <w:widowControl/>
        <w:spacing w:line="560" w:lineRule="exact"/>
        <w:jc w:val="center"/>
        <w:rPr>
          <w:rFonts w:ascii="黑体" w:hAnsi="Cambria" w:eastAsia="黑体"/>
          <w:kern w:val="0"/>
          <w:sz w:val="52"/>
          <w:szCs w:val="52"/>
        </w:rPr>
      </w:pPr>
    </w:p>
    <w:p w14:paraId="30EE08C6">
      <w:pPr>
        <w:widowControl/>
        <w:spacing w:line="560" w:lineRule="exact"/>
        <w:jc w:val="center"/>
        <w:rPr>
          <w:rFonts w:ascii="黑体" w:hAnsi="Cambria" w:eastAsia="黑体"/>
          <w:kern w:val="0"/>
          <w:sz w:val="52"/>
          <w:szCs w:val="52"/>
        </w:rPr>
        <w:sectPr>
          <w:pgSz w:w="11906" w:h="16838"/>
          <w:pgMar w:top="2098" w:right="1474" w:bottom="1984" w:left="1588" w:header="851" w:footer="992" w:gutter="0"/>
          <w:cols w:space="0" w:num="1"/>
          <w:docGrid w:type="lines" w:linePitch="312" w:charSpace="0"/>
        </w:sectPr>
      </w:pPr>
    </w:p>
    <w:p w14:paraId="25614928">
      <w:pPr>
        <w:widowControl/>
        <w:spacing w:line="560" w:lineRule="exact"/>
        <w:jc w:val="center"/>
        <w:rPr>
          <w:rFonts w:ascii="黑体" w:hAnsi="Cambria" w:eastAsia="黑体"/>
          <w:kern w:val="0"/>
          <w:sz w:val="52"/>
          <w:szCs w:val="52"/>
        </w:rPr>
      </w:pPr>
      <w:r>
        <w:drawing>
          <wp:anchor distT="0" distB="0" distL="114300" distR="114300" simplePos="0" relativeHeight="251664384" behindDoc="1" locked="1"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8"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6" descr="2"/>
                    <pic:cNvPicPr>
                      <a:picLocks noChangeAspect="1"/>
                    </pic:cNvPicPr>
                  </pic:nvPicPr>
                  <pic:blipFill>
                    <a:blip r:embed="rId7"/>
                    <a:stretch>
                      <a:fillRect/>
                    </a:stretch>
                  </pic:blipFill>
                  <pic:spPr>
                    <a:xfrm>
                      <a:off x="0" y="0"/>
                      <a:ext cx="7571105" cy="10680065"/>
                    </a:xfrm>
                    <a:prstGeom prst="rect">
                      <a:avLst/>
                    </a:prstGeom>
                    <a:noFill/>
                    <a:ln>
                      <a:noFill/>
                    </a:ln>
                  </pic:spPr>
                </pic:pic>
              </a:graphicData>
            </a:graphic>
          </wp:anchor>
        </w:drawing>
      </w:r>
    </w:p>
    <w:p w14:paraId="6383E3B5">
      <w:pPr>
        <w:widowControl/>
        <w:spacing w:line="560" w:lineRule="exact"/>
        <w:jc w:val="center"/>
        <w:rPr>
          <w:rFonts w:ascii="黑体" w:hAnsi="Cambria" w:eastAsia="黑体"/>
          <w:kern w:val="0"/>
          <w:sz w:val="52"/>
          <w:szCs w:val="52"/>
        </w:rPr>
      </w:pPr>
    </w:p>
    <w:p w14:paraId="5D6432FB">
      <w:pPr>
        <w:rPr>
          <w:rFonts w:ascii="宋体"/>
          <w:color w:val="000000"/>
          <w:kern w:val="0"/>
        </w:rPr>
        <w:sectPr>
          <w:pgSz w:w="11906" w:h="16838"/>
          <w:pgMar w:top="2098" w:right="1474" w:bottom="1984" w:left="1588" w:header="851" w:footer="992" w:gutter="0"/>
          <w:cols w:space="0" w:num="1"/>
          <w:docGrid w:type="lines" w:linePitch="312" w:charSpace="0"/>
        </w:sectPr>
      </w:pPr>
      <w:r>
        <mc:AlternateContent>
          <mc:Choice Requires="wps">
            <w:drawing>
              <wp:anchor distT="0" distB="0" distL="114300" distR="114300" simplePos="0" relativeHeight="251663360" behindDoc="0" locked="1" layoutInCell="1" allowOverlap="1">
                <wp:simplePos x="0" y="0"/>
                <wp:positionH relativeFrom="column">
                  <wp:posOffset>-942340</wp:posOffset>
                </wp:positionH>
                <wp:positionV relativeFrom="paragraph">
                  <wp:posOffset>1527810</wp:posOffset>
                </wp:positionV>
                <wp:extent cx="7571740" cy="2020570"/>
                <wp:effectExtent l="0" t="0" r="0" b="0"/>
                <wp:wrapNone/>
                <wp:docPr id="7" name="文本框 16"/>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txbx>
                        <w:txbxContent>
                          <w:p w14:paraId="7F85D7A7">
                            <w:pPr>
                              <w:widowControl/>
                              <w:spacing w:line="1200" w:lineRule="exact"/>
                              <w:jc w:val="center"/>
                              <w:rPr>
                                <w:rFonts w:ascii="黑体" w:hAnsi="宋体" w:eastAsia="黑体"/>
                                <w:color w:val="FDEFBE"/>
                                <w:sz w:val="96"/>
                                <w:szCs w:val="96"/>
                              </w:rPr>
                            </w:pPr>
                            <w:r>
                              <w:rPr>
                                <w:rFonts w:hint="eastAsia" w:ascii="黑体" w:hAnsi="宋体" w:eastAsia="黑体" w:cs="黑体"/>
                                <w:color w:val="FDEFBE"/>
                                <w:sz w:val="96"/>
                                <w:szCs w:val="96"/>
                              </w:rPr>
                              <w:t>第二部分</w:t>
                            </w:r>
                          </w:p>
                          <w:p w14:paraId="6B51CE87">
                            <w:pPr>
                              <w:widowControl/>
                              <w:spacing w:line="1200" w:lineRule="exact"/>
                              <w:jc w:val="center"/>
                              <w:rPr>
                                <w:color w:val="FDEFBE"/>
                                <w:sz w:val="96"/>
                                <w:szCs w:val="96"/>
                              </w:rPr>
                            </w:pPr>
                            <w:r>
                              <w:rPr>
                                <w:rFonts w:ascii="黑体" w:hAnsi="宋体" w:eastAsia="黑体" w:cs="黑体"/>
                                <w:color w:val="FDEFBE"/>
                                <w:sz w:val="96"/>
                                <w:szCs w:val="96"/>
                              </w:rPr>
                              <w:t>2018</w:t>
                            </w:r>
                            <w:r>
                              <w:rPr>
                                <w:rFonts w:hint="eastAsia" w:ascii="黑体" w:hAnsi="宋体" w:eastAsia="黑体" w:cs="黑体"/>
                                <w:color w:val="FDEFBE"/>
                                <w:sz w:val="96"/>
                                <w:szCs w:val="96"/>
                              </w:rPr>
                              <w:t>年度部门决算报表</w:t>
                            </w:r>
                          </w:p>
                        </w:txbxContent>
                      </wps:txbx>
                      <wps:bodyPr upright="1"/>
                    </wps:wsp>
                  </a:graphicData>
                </a:graphic>
              </wp:anchor>
            </w:drawing>
          </mc:Choice>
          <mc:Fallback>
            <w:pict>
              <v:shape id="文本框 16" o:spid="_x0000_s1026" o:spt="202" type="#_x0000_t202" style="position:absolute;left:0pt;margin-left:-74.2pt;margin-top:120.3pt;height:159.1pt;width:596.2pt;z-index:25166336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BOaz3Q3AAAAA0BAAAPAAAAAAAAAAEAIAAAACIAAABkcnMvZG93bnJldi54bWxQSwEC&#10;FAAUAAAACACHTuJAmxuGnrcBAABZAwAADgAAAAAAAAABACAAAAArAQAAZHJzL2Uyb0RvYy54bWxQ&#10;SwUGAAAAAAYABgBZAQAAVAUAAAAA&#10;">
                <v:fill on="f" focussize="0,0"/>
                <v:stroke on="f" weight="0.5pt"/>
                <v:imagedata o:title=""/>
                <o:lock v:ext="edit" aspectratio="f"/>
                <v:textbox>
                  <w:txbxContent>
                    <w:p w14:paraId="7F85D7A7">
                      <w:pPr>
                        <w:widowControl/>
                        <w:spacing w:line="1200" w:lineRule="exact"/>
                        <w:jc w:val="center"/>
                        <w:rPr>
                          <w:rFonts w:ascii="黑体" w:hAnsi="宋体" w:eastAsia="黑体"/>
                          <w:color w:val="FDEFBE"/>
                          <w:sz w:val="96"/>
                          <w:szCs w:val="96"/>
                        </w:rPr>
                      </w:pPr>
                      <w:r>
                        <w:rPr>
                          <w:rFonts w:hint="eastAsia" w:ascii="黑体" w:hAnsi="宋体" w:eastAsia="黑体" w:cs="黑体"/>
                          <w:color w:val="FDEFBE"/>
                          <w:sz w:val="96"/>
                          <w:szCs w:val="96"/>
                        </w:rPr>
                        <w:t>第二部分</w:t>
                      </w:r>
                    </w:p>
                    <w:p w14:paraId="6B51CE87">
                      <w:pPr>
                        <w:widowControl/>
                        <w:spacing w:line="1200" w:lineRule="exact"/>
                        <w:jc w:val="center"/>
                        <w:rPr>
                          <w:color w:val="FDEFBE"/>
                          <w:sz w:val="96"/>
                          <w:szCs w:val="96"/>
                        </w:rPr>
                      </w:pPr>
                      <w:r>
                        <w:rPr>
                          <w:rFonts w:ascii="黑体" w:hAnsi="宋体" w:eastAsia="黑体" w:cs="黑体"/>
                          <w:color w:val="FDEFBE"/>
                          <w:sz w:val="96"/>
                          <w:szCs w:val="96"/>
                        </w:rPr>
                        <w:t>2018</w:t>
                      </w:r>
                      <w:r>
                        <w:rPr>
                          <w:rFonts w:hint="eastAsia" w:ascii="黑体" w:hAnsi="宋体" w:eastAsia="黑体" w:cs="黑体"/>
                          <w:color w:val="FDEFBE"/>
                          <w:sz w:val="96"/>
                          <w:szCs w:val="96"/>
                        </w:rPr>
                        <w:t>年度部门决算报表</w:t>
                      </w:r>
                    </w:p>
                  </w:txbxContent>
                </v:textbox>
                <w10:anchorlock/>
              </v:shape>
            </w:pict>
          </mc:Fallback>
        </mc:AlternateContent>
      </w:r>
    </w:p>
    <w:p w14:paraId="280AB5AB">
      <w:pPr>
        <w:widowControl/>
        <w:spacing w:after="0" w:line="560" w:lineRule="exact"/>
        <w:jc w:val="left"/>
        <w:rPr>
          <w:rFonts w:hint="eastAsia" w:ascii="仿宋_GB2312" w:eastAsia="仿宋_GB2312" w:cs="仿宋_GB2312"/>
          <w:sz w:val="32"/>
          <w:szCs w:val="32"/>
        </w:rPr>
      </w:pPr>
    </w:p>
    <w:p w14:paraId="3F63DCE8">
      <w:pPr>
        <w:widowControl/>
        <w:spacing w:after="0" w:line="560" w:lineRule="exact"/>
        <w:jc w:val="left"/>
        <w:rPr>
          <w:rFonts w:hint="eastAsia" w:ascii="仿宋_GB2312" w:eastAsia="仿宋_GB2312" w:cs="仿宋_GB2312"/>
          <w:sz w:val="32"/>
          <w:szCs w:val="32"/>
        </w:rPr>
      </w:pPr>
    </w:p>
    <w:p w14:paraId="6DFB01DD">
      <w:pPr>
        <w:keepNext/>
        <w:keepLines/>
        <w:spacing w:line="560" w:lineRule="exact"/>
        <w:ind w:firstLine="640" w:firstLineChars="20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本部门应公开</w:t>
      </w:r>
      <w:r>
        <w:rPr>
          <w:rFonts w:hint="eastAsia" w:ascii="仿宋" w:hAnsi="仿宋" w:eastAsia="仿宋" w:cs="仿宋"/>
          <w:color w:val="000000"/>
          <w:kern w:val="0"/>
          <w:sz w:val="32"/>
          <w:szCs w:val="32"/>
          <w:lang w:val="en-US" w:eastAsia="zh-CN"/>
        </w:rPr>
        <w:t>10</w:t>
      </w:r>
      <w:r>
        <w:rPr>
          <w:rFonts w:hint="eastAsia" w:ascii="仿宋" w:hAnsi="仿宋" w:eastAsia="仿宋" w:cs="仿宋"/>
          <w:color w:val="000000"/>
          <w:kern w:val="0"/>
          <w:sz w:val="32"/>
          <w:szCs w:val="32"/>
        </w:rPr>
        <w:t>张决算表格,即:</w:t>
      </w:r>
    </w:p>
    <w:p w14:paraId="7E475EF6">
      <w:pPr>
        <w:keepNext/>
        <w:keepLines/>
        <w:spacing w:line="560" w:lineRule="exact"/>
        <w:ind w:firstLine="640" w:firstLineChars="20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一、收入支出决算总表(公开01表)</w:t>
      </w:r>
    </w:p>
    <w:p w14:paraId="299F36B4">
      <w:pPr>
        <w:keepNext/>
        <w:keepLines/>
        <w:spacing w:line="560" w:lineRule="exact"/>
        <w:ind w:firstLine="640" w:firstLineChars="20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二、收入决算表(公开02表)</w:t>
      </w:r>
    </w:p>
    <w:p w14:paraId="35831D61">
      <w:pPr>
        <w:keepNext/>
        <w:keepLines/>
        <w:spacing w:line="560" w:lineRule="exact"/>
        <w:ind w:firstLine="640" w:firstLineChars="20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三、支出决算表(公开03表)</w:t>
      </w:r>
    </w:p>
    <w:p w14:paraId="6B275260">
      <w:pPr>
        <w:keepNext/>
        <w:keepLines/>
        <w:spacing w:line="560" w:lineRule="exact"/>
        <w:ind w:firstLine="640" w:firstLineChars="20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四、财政拨款收入支出决算总表(公开04表)</w:t>
      </w:r>
    </w:p>
    <w:p w14:paraId="6ACF84C0">
      <w:pPr>
        <w:keepNext/>
        <w:keepLines/>
        <w:spacing w:line="560" w:lineRule="exact"/>
        <w:ind w:firstLine="640" w:firstLineChars="20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五、一般公共预算财政拨款支出决算表(公开05表)</w:t>
      </w:r>
    </w:p>
    <w:p w14:paraId="4C217174">
      <w:pPr>
        <w:keepNext/>
        <w:keepLines/>
        <w:spacing w:line="560" w:lineRule="exact"/>
        <w:ind w:firstLine="640" w:firstLineChars="20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六、一般公共预算财政拨款基本支出决算表(公开06表)</w:t>
      </w:r>
    </w:p>
    <w:p w14:paraId="0F5FADCB">
      <w:pPr>
        <w:keepNext/>
        <w:keepLines/>
        <w:spacing w:line="560" w:lineRule="exact"/>
        <w:ind w:firstLine="640" w:firstLineChars="20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七、一般公共预算财政拨款“三公”经费支出决算表(公</w:t>
      </w:r>
    </w:p>
    <w:p w14:paraId="5F4487D0">
      <w:pPr>
        <w:keepNext/>
        <w:keepLines/>
        <w:spacing w:line="560" w:lineRule="exact"/>
        <w:ind w:firstLine="640" w:firstLineChars="20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开07表)</w:t>
      </w:r>
    </w:p>
    <w:p w14:paraId="5B3F8D87">
      <w:pPr>
        <w:keepNext/>
        <w:keepLines/>
        <w:spacing w:line="560" w:lineRule="exact"/>
        <w:ind w:firstLine="640" w:firstLineChars="20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八、政府性基金预算财政投款收入支出决算表(公开08表)</w:t>
      </w:r>
    </w:p>
    <w:p w14:paraId="6A92576A">
      <w:pPr>
        <w:keepNext/>
        <w:keepLines/>
        <w:spacing w:line="560" w:lineRule="exact"/>
        <w:ind w:firstLine="640" w:firstLineChars="200"/>
        <w:jc w:val="left"/>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九、国有资本经营预算财政拨款支出决算表(公开09表)</w:t>
      </w:r>
    </w:p>
    <w:p w14:paraId="72A10E6D">
      <w:pPr>
        <w:widowControl/>
        <w:spacing w:line="580" w:lineRule="exact"/>
        <w:ind w:firstLine="640" w:firstLineChars="200"/>
        <w:rPr>
          <w:rFonts w:eastAsia="仿宋_GB2312"/>
        </w:rPr>
      </w:pPr>
      <w:r>
        <w:rPr>
          <w:rFonts w:hint="eastAsia" w:eastAsia="仿宋_GB2312"/>
          <w:sz w:val="32"/>
          <w:szCs w:val="32"/>
        </w:rPr>
        <w:t>十</w:t>
      </w:r>
      <w:r>
        <w:rPr>
          <w:rFonts w:eastAsia="仿宋_GB2312"/>
          <w:sz w:val="32"/>
          <w:szCs w:val="32"/>
        </w:rPr>
        <w:t>、政府采购情况表</w:t>
      </w:r>
      <w:r>
        <w:rPr>
          <w:rFonts w:hint="eastAsia" w:ascii="仿宋" w:hAnsi="仿宋" w:eastAsia="仿宋" w:cs="仿宋"/>
          <w:color w:val="000000"/>
          <w:kern w:val="0"/>
          <w:sz w:val="32"/>
          <w:szCs w:val="32"/>
        </w:rPr>
        <w:t>(公开</w:t>
      </w:r>
      <w:r>
        <w:rPr>
          <w:rFonts w:hint="eastAsia" w:ascii="仿宋" w:hAnsi="仿宋" w:eastAsia="仿宋" w:cs="仿宋"/>
          <w:color w:val="000000"/>
          <w:kern w:val="0"/>
          <w:sz w:val="32"/>
          <w:szCs w:val="32"/>
          <w:lang w:val="en-US" w:eastAsia="zh-CN"/>
        </w:rPr>
        <w:t>10</w:t>
      </w:r>
      <w:r>
        <w:rPr>
          <w:rFonts w:hint="eastAsia" w:ascii="仿宋" w:hAnsi="仿宋" w:eastAsia="仿宋" w:cs="仿宋"/>
          <w:color w:val="000000"/>
          <w:kern w:val="0"/>
          <w:sz w:val="32"/>
          <w:szCs w:val="32"/>
        </w:rPr>
        <w:t>表)</w:t>
      </w:r>
    </w:p>
    <w:p w14:paraId="19BABA56">
      <w:pPr>
        <w:keepNext/>
        <w:keepLines/>
        <w:spacing w:line="560" w:lineRule="exact"/>
        <w:ind w:firstLine="640" w:firstLineChars="200"/>
        <w:jc w:val="left"/>
        <w:rPr>
          <w:rFonts w:ascii="仿宋_GB2312" w:hAnsi="宋体" w:eastAsia="仿宋_GB2312"/>
          <w:b/>
          <w:bCs/>
          <w:sz w:val="28"/>
          <w:szCs w:val="28"/>
          <w:highlight w:val="yellow"/>
        </w:rPr>
        <w:sectPr>
          <w:pgSz w:w="11906" w:h="16838"/>
          <w:pgMar w:top="2098" w:right="1474" w:bottom="1984" w:left="1588" w:header="851" w:footer="992" w:gutter="0"/>
          <w:cols w:space="0" w:num="1"/>
          <w:docGrid w:type="lines" w:linePitch="312" w:charSpace="0"/>
        </w:sectPr>
      </w:pPr>
      <w:r>
        <w:rPr>
          <w:rFonts w:hint="eastAsia" w:ascii="仿宋" w:hAnsi="仿宋" w:eastAsia="仿宋" w:cs="仿宋"/>
          <w:color w:val="000000"/>
          <w:kern w:val="0"/>
          <w:sz w:val="32"/>
          <w:szCs w:val="32"/>
        </w:rPr>
        <w:t>详见附件：201</w:t>
      </w:r>
      <w:r>
        <w:rPr>
          <w:rFonts w:hint="eastAsia" w:ascii="仿宋" w:hAnsi="仿宋" w:eastAsia="仿宋" w:cs="仿宋"/>
          <w:color w:val="000000"/>
          <w:kern w:val="0"/>
          <w:sz w:val="32"/>
          <w:szCs w:val="32"/>
          <w:lang w:val="en-US" w:eastAsia="zh-CN"/>
        </w:rPr>
        <w:t>8</w:t>
      </w:r>
      <w:r>
        <w:rPr>
          <w:rFonts w:hint="eastAsia" w:ascii="仿宋" w:hAnsi="仿宋" w:eastAsia="仿宋" w:cs="仿宋"/>
          <w:color w:val="000000"/>
          <w:kern w:val="0"/>
          <w:sz w:val="32"/>
          <w:szCs w:val="32"/>
        </w:rPr>
        <w:t>年</w:t>
      </w:r>
      <w:r>
        <w:rPr>
          <w:rFonts w:hint="eastAsia" w:ascii="仿宋_GB2312" w:eastAsia="仿宋_GB2312" w:cs="ArialUnicodeMS" w:hAnsiTheme="minorHAnsi"/>
          <w:kern w:val="0"/>
          <w:sz w:val="28"/>
          <w:szCs w:val="28"/>
        </w:rPr>
        <w:t>高邑县粮食局</w:t>
      </w:r>
      <w:r>
        <w:rPr>
          <w:rFonts w:hint="eastAsia" w:ascii="仿宋" w:hAnsi="仿宋" w:eastAsia="仿宋" w:cs="仿宋"/>
          <w:color w:val="000000"/>
          <w:kern w:val="0"/>
          <w:sz w:val="32"/>
          <w:szCs w:val="32"/>
        </w:rPr>
        <w:t>决算</w:t>
      </w:r>
    </w:p>
    <w:p w14:paraId="4DBDBF19">
      <w:pPr>
        <w:tabs>
          <w:tab w:val="left" w:pos="1086"/>
        </w:tabs>
        <w:jc w:val="left"/>
        <w:rPr>
          <w:rFonts w:ascii="仿宋_GB2312" w:hAnsi="宋体" w:eastAsia="仿宋_GB2312"/>
          <w:b/>
          <w:bCs/>
          <w:sz w:val="28"/>
          <w:szCs w:val="28"/>
          <w:highlight w:val="yellow"/>
        </w:rPr>
        <w:sectPr>
          <w:pgSz w:w="11906" w:h="16838"/>
          <w:pgMar w:top="2098" w:right="1474" w:bottom="1984" w:left="1588" w:header="851" w:footer="992" w:gutter="0"/>
          <w:cols w:space="0" w:num="1"/>
          <w:docGrid w:type="lines" w:linePitch="312" w:charSpace="0"/>
        </w:sectPr>
      </w:pPr>
    </w:p>
    <w:p w14:paraId="5CC981E0">
      <w:pPr>
        <w:rPr>
          <w:rFonts w:ascii="宋体"/>
          <w:color w:val="000000"/>
          <w:kern w:val="0"/>
        </w:rPr>
        <w:sectPr>
          <w:pgSz w:w="11906" w:h="16838"/>
          <w:pgMar w:top="2098" w:right="1474" w:bottom="1984" w:left="1588" w:header="851" w:footer="992" w:gutter="0"/>
          <w:cols w:space="0" w:num="1"/>
          <w:docGrid w:type="lines" w:linePitch="312" w:charSpace="0"/>
        </w:sectPr>
      </w:pPr>
      <w:r>
        <w:drawing>
          <wp:anchor distT="0" distB="0" distL="114300" distR="114300" simplePos="0" relativeHeight="251666432" behindDoc="1" locked="1"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10"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4" descr="2"/>
                    <pic:cNvPicPr>
                      <a:picLocks noChangeAspect="1"/>
                    </pic:cNvPicPr>
                  </pic:nvPicPr>
                  <pic:blipFill>
                    <a:blip r:embed="rId7"/>
                    <a:stretch>
                      <a:fillRect/>
                    </a:stretch>
                  </pic:blipFill>
                  <pic:spPr>
                    <a:xfrm>
                      <a:off x="0" y="0"/>
                      <a:ext cx="7550150" cy="10680065"/>
                    </a:xfrm>
                    <a:prstGeom prst="rect">
                      <a:avLst/>
                    </a:prstGeom>
                    <a:noFill/>
                    <a:ln>
                      <a:noFill/>
                    </a:ln>
                  </pic:spPr>
                </pic:pic>
              </a:graphicData>
            </a:graphic>
          </wp:anchor>
        </w:drawing>
      </w:r>
      <w:r>
        <mc:AlternateContent>
          <mc:Choice Requires="wps">
            <w:drawing>
              <wp:anchor distT="0" distB="0" distL="114300" distR="114300" simplePos="0" relativeHeight="251665408" behindDoc="0" locked="1" layoutInCell="1" allowOverlap="1">
                <wp:simplePos x="0" y="0"/>
                <wp:positionH relativeFrom="column">
                  <wp:posOffset>-999490</wp:posOffset>
                </wp:positionH>
                <wp:positionV relativeFrom="paragraph">
                  <wp:posOffset>2956560</wp:posOffset>
                </wp:positionV>
                <wp:extent cx="7571740" cy="2020570"/>
                <wp:effectExtent l="0" t="0" r="0" b="0"/>
                <wp:wrapNone/>
                <wp:docPr id="9" name="文本框 18"/>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txbx>
                        <w:txbxContent>
                          <w:p w14:paraId="51B659E9">
                            <w:pPr>
                              <w:widowControl/>
                              <w:spacing w:line="1200" w:lineRule="exact"/>
                              <w:jc w:val="center"/>
                              <w:rPr>
                                <w:rFonts w:ascii="黑体" w:hAnsi="宋体" w:eastAsia="黑体"/>
                                <w:color w:val="FDEFBE"/>
                                <w:sz w:val="96"/>
                                <w:szCs w:val="96"/>
                              </w:rPr>
                            </w:pPr>
                            <w:r>
                              <w:rPr>
                                <w:rFonts w:hint="eastAsia" w:ascii="黑体" w:hAnsi="宋体" w:eastAsia="黑体" w:cs="黑体"/>
                                <w:color w:val="FDEFBE"/>
                                <w:sz w:val="96"/>
                                <w:szCs w:val="96"/>
                              </w:rPr>
                              <w:t>第三部分</w:t>
                            </w:r>
                          </w:p>
                          <w:p w14:paraId="5723775F">
                            <w:pPr>
                              <w:widowControl/>
                              <w:spacing w:line="1200" w:lineRule="exact"/>
                              <w:jc w:val="center"/>
                              <w:rPr>
                                <w:color w:val="FDEFBE"/>
                                <w:sz w:val="96"/>
                                <w:szCs w:val="96"/>
                              </w:rPr>
                            </w:pPr>
                            <w:r>
                              <w:rPr>
                                <w:rFonts w:hint="eastAsia" w:ascii="黑体" w:hAnsi="宋体" w:eastAsia="黑体" w:cs="黑体"/>
                                <w:color w:val="FDEFBE"/>
                                <w:sz w:val="96"/>
                                <w:szCs w:val="96"/>
                              </w:rPr>
                              <w:t>部门决算情况说明</w:t>
                            </w:r>
                          </w:p>
                        </w:txbxContent>
                      </wps:txbx>
                      <wps:bodyPr upright="1"/>
                    </wps:wsp>
                  </a:graphicData>
                </a:graphic>
              </wp:anchor>
            </w:drawing>
          </mc:Choice>
          <mc:Fallback>
            <w:pict>
              <v:shape id="文本框 18" o:spid="_x0000_s1026"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ZZp6M3gAAAA0BAAAPAAAAAAAAAAEAIAAAACIAAABkcnMvZG93bnJldi54bWxQ&#10;SwECFAAUAAAACACHTuJABDNL17gBAABZAwAADgAAAAAAAAABACAAAAAtAQAAZHJzL2Uyb0RvYy54&#10;bWxQSwUGAAAAAAYABgBZAQAAVwUAAAAA&#10;">
                <v:fill on="f" focussize="0,0"/>
                <v:stroke on="f" weight="0.5pt"/>
                <v:imagedata o:title=""/>
                <o:lock v:ext="edit" aspectratio="f"/>
                <v:textbox>
                  <w:txbxContent>
                    <w:p w14:paraId="51B659E9">
                      <w:pPr>
                        <w:widowControl/>
                        <w:spacing w:line="1200" w:lineRule="exact"/>
                        <w:jc w:val="center"/>
                        <w:rPr>
                          <w:rFonts w:ascii="黑体" w:hAnsi="宋体" w:eastAsia="黑体"/>
                          <w:color w:val="FDEFBE"/>
                          <w:sz w:val="96"/>
                          <w:szCs w:val="96"/>
                        </w:rPr>
                      </w:pPr>
                      <w:r>
                        <w:rPr>
                          <w:rFonts w:hint="eastAsia" w:ascii="黑体" w:hAnsi="宋体" w:eastAsia="黑体" w:cs="黑体"/>
                          <w:color w:val="FDEFBE"/>
                          <w:sz w:val="96"/>
                          <w:szCs w:val="96"/>
                        </w:rPr>
                        <w:t>第三部分</w:t>
                      </w:r>
                    </w:p>
                    <w:p w14:paraId="5723775F">
                      <w:pPr>
                        <w:widowControl/>
                        <w:spacing w:line="1200" w:lineRule="exact"/>
                        <w:jc w:val="center"/>
                        <w:rPr>
                          <w:color w:val="FDEFBE"/>
                          <w:sz w:val="96"/>
                          <w:szCs w:val="96"/>
                        </w:rPr>
                      </w:pPr>
                      <w:r>
                        <w:rPr>
                          <w:rFonts w:hint="eastAsia" w:ascii="黑体" w:hAnsi="宋体" w:eastAsia="黑体" w:cs="黑体"/>
                          <w:color w:val="FDEFBE"/>
                          <w:sz w:val="96"/>
                          <w:szCs w:val="96"/>
                        </w:rPr>
                        <w:t>部门决算情况说明</w:t>
                      </w:r>
                    </w:p>
                  </w:txbxContent>
                </v:textbox>
                <w10:anchorlock/>
              </v:shape>
            </w:pict>
          </mc:Fallback>
        </mc:AlternateContent>
      </w:r>
    </w:p>
    <w:p w14:paraId="566E3255">
      <w:pPr>
        <w:pStyle w:val="3"/>
        <w:spacing w:before="0" w:after="0" w:line="580" w:lineRule="exact"/>
        <w:ind w:firstLine="640" w:firstLineChars="200"/>
        <w:rPr>
          <w:rFonts w:ascii="黑体" w:eastAsia="黑体" w:cs="Times New Roman"/>
          <w:b w:val="0"/>
          <w:bCs w:val="0"/>
        </w:rPr>
      </w:pPr>
      <w:r>
        <w:rPr>
          <w:rFonts w:hint="eastAsia" w:ascii="黑体" w:eastAsia="黑体" w:cs="黑体"/>
          <w:b w:val="0"/>
          <w:bCs w:val="0"/>
        </w:rPr>
        <w:t>一、收入</w:t>
      </w:r>
      <w:r>
        <w:rPr>
          <w:rFonts w:hint="eastAsia" w:ascii="黑体" w:hAnsi="Cambria" w:eastAsia="黑体" w:cs="黑体"/>
          <w:b w:val="0"/>
          <w:bCs w:val="0"/>
          <w:kern w:val="0"/>
        </w:rPr>
        <w:t>支</w:t>
      </w:r>
      <w:r>
        <mc:AlternateContent>
          <mc:Choice Requires="wpg">
            <w:drawing>
              <wp:anchor distT="0" distB="0" distL="114300" distR="114300" simplePos="0" relativeHeight="251681792"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47" name="组合 19"/>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45" name="矩形 13"/>
                        <wps:cNvSpPr/>
                        <wps:spPr>
                          <a:xfrm>
                            <a:off x="4551" y="52615"/>
                            <a:ext cx="8546" cy="1175"/>
                          </a:xfrm>
                          <a:prstGeom prst="rect">
                            <a:avLst/>
                          </a:prstGeom>
                          <a:solidFill>
                            <a:srgbClr val="D9D9D9"/>
                          </a:solidFill>
                          <a:ln w="25400">
                            <a:noFill/>
                          </a:ln>
                        </wps:spPr>
                        <wps:bodyPr anchor="ctr" upright="1"/>
                      </wps:wsp>
                      <wps:wsp>
                        <wps:cNvPr id="46" name="矩形 14"/>
                        <wps:cNvSpPr/>
                        <wps:spPr>
                          <a:xfrm>
                            <a:off x="4577" y="52890"/>
                            <a:ext cx="8324" cy="1123"/>
                          </a:xfrm>
                          <a:prstGeom prst="rect">
                            <a:avLst/>
                          </a:prstGeom>
                          <a:solidFill>
                            <a:srgbClr val="AD002D"/>
                          </a:solidFill>
                          <a:ln w="25400" cap="flat" cmpd="sng">
                            <a:solidFill>
                              <a:srgbClr val="B0761F"/>
                            </a:solidFill>
                            <a:prstDash val="solid"/>
                            <a:round/>
                            <a:headEnd type="none" w="med" len="med"/>
                            <a:tailEnd type="none" w="med" len="med"/>
                          </a:ln>
                        </wps:spPr>
                        <wps:txbx>
                          <w:txbxContent>
                            <w:p w14:paraId="69B1F61D">
                              <w:pPr>
                                <w:widowControl/>
                                <w:jc w:val="left"/>
                                <w:rPr>
                                  <w:rFonts w:ascii="楷体" w:hAnsi="楷体" w:eastAsia="楷体"/>
                                  <w:b/>
                                  <w:bCs/>
                                  <w:color w:val="FDEFBE"/>
                                  <w:sz w:val="32"/>
                                  <w:szCs w:val="32"/>
                                </w:rPr>
                              </w:pPr>
                              <w:r>
                                <w:rPr>
                                  <w:rFonts w:ascii="楷体" w:hAnsi="楷体" w:eastAsia="楷体" w:cs="楷体"/>
                                  <w:b/>
                                  <w:bCs/>
                                  <w:color w:val="FDEFBE"/>
                                  <w:kern w:val="0"/>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65300BDD">
                              <w:pPr>
                                <w:jc w:val="center"/>
                              </w:pPr>
                            </w:p>
                          </w:txbxContent>
                        </wps:txbx>
                        <wps:bodyPr anchor="ctr" upright="1"/>
                      </wps:wsp>
                    </wpg:wgp>
                  </a:graphicData>
                </a:graphic>
              </wp:anchor>
            </w:drawing>
          </mc:Choice>
          <mc:Fallback>
            <w:pict>
              <v:group id="组合 19" o:spid="_x0000_s1026" o:spt="203" style="position:absolute;left:0pt;margin-left:-0.55pt;margin-top:29.3pt;height:43.95pt;width:301.85pt;mso-position-horizontal-relative:page;mso-position-vertical-relative:page;z-index:251681792;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">
                <o:lock v:ext="edit" aspectratio="f"/>
                <v:rect id="矩形 13" o:spid="_x0000_s1026" o:spt="1" style="position:absolute;left:4551;top:52615;height:1175;width:8546;v-text-anchor:middle;" fillcolor="#D9D9D9" filled="t" stroked="f" coordsize="21600,21600" o:gfxdata="UEsDBAoAAAAAAIdO4kAAAAAAAAAAAAAAAAAEAAAAZHJzL1BLAwQUAAAACACHTuJA7og4rr4AAADb&#10;AAAADwAAAGRycy9kb3ducmV2LnhtbEWPT2sCMRTE74LfIbyCN022uC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og4r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l/Pi77sAAADb&#10;AAAADwAAAGRycy9kb3ducmV2LnhtbEWPS4sCMRCE7wv+h9CCtzVRZH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Pi77sAAADb&#10;AAAADwAAAAAAAAABACAAAAAiAAAAZHJzL2Rvd25yZXYueG1sUEsBAhQAFAAAAAgAh07iQDMvBZ47&#10;AAAAOQAAABAAAAAAAAAAAQAgAAAACgEAAGRycy9zaGFwZXhtbC54bWxQSwUGAAAAAAYABgBbAQAA&#10;tAMAAAAA&#10;">
                  <v:fill on="t" focussize="0,0"/>
                  <v:stroke weight="2pt" color="#B0761F" joinstyle="round"/>
                  <v:imagedata o:title=""/>
                  <o:lock v:ext="edit" aspectratio="f"/>
                  <v:textbox>
                    <w:txbxContent>
                      <w:p w14:paraId="69B1F61D">
                        <w:pPr>
                          <w:widowControl/>
                          <w:jc w:val="left"/>
                          <w:rPr>
                            <w:rFonts w:ascii="楷体" w:hAnsi="楷体" w:eastAsia="楷体"/>
                            <w:b/>
                            <w:bCs/>
                            <w:color w:val="FDEFBE"/>
                            <w:sz w:val="32"/>
                            <w:szCs w:val="32"/>
                          </w:rPr>
                        </w:pPr>
                        <w:r>
                          <w:rPr>
                            <w:rFonts w:ascii="楷体" w:hAnsi="楷体" w:eastAsia="楷体" w:cs="楷体"/>
                            <w:b/>
                            <w:bCs/>
                            <w:color w:val="FDEFBE"/>
                            <w:kern w:val="0"/>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65300BDD">
                        <w:pPr>
                          <w:jc w:val="center"/>
                        </w:pPr>
                      </w:p>
                    </w:txbxContent>
                  </v:textbox>
                </v:rect>
                <w10:anchorlock/>
              </v:group>
            </w:pict>
          </mc:Fallback>
        </mc:AlternateContent>
      </w:r>
      <w:r>
        <w:rPr>
          <w:rFonts w:hint="eastAsia" w:ascii="黑体" w:hAnsi="Cambria" w:eastAsia="黑体" w:cs="黑体"/>
          <w:b w:val="0"/>
          <w:bCs w:val="0"/>
          <w:kern w:val="0"/>
        </w:rPr>
        <w:t>出</w:t>
      </w:r>
      <w:r>
        <w:rPr>
          <w:rFonts w:hint="eastAsia" w:ascii="黑体" w:eastAsia="黑体" w:cs="黑体"/>
          <w:b w:val="0"/>
          <w:bCs w:val="0"/>
        </w:rPr>
        <w:t>决算总体情况说明</w:t>
      </w:r>
    </w:p>
    <w:p w14:paraId="16D73307">
      <w:pPr>
        <w:adjustRightInd w:val="0"/>
        <w:snapToGrid w:val="0"/>
        <w:spacing w:after="0" w:line="580" w:lineRule="exact"/>
        <w:rPr>
          <w:rFonts w:ascii="仿宋_GB2312" w:eastAsia="仿宋_GB2312" w:cs="DengXian-Regular"/>
          <w:sz w:val="32"/>
          <w:szCs w:val="32"/>
        </w:rPr>
      </w:pPr>
      <w:r>
        <w:rPr>
          <w:rFonts w:hint="eastAsia" w:ascii="仿宋_GB2312" w:eastAsia="仿宋_GB2312" w:cs="DengXian-Regular"/>
          <w:sz w:val="32"/>
          <w:szCs w:val="32"/>
        </w:rPr>
        <w:t>本部门2018年度收入总计307.12万元，上年结转结余10.92万元，本年支出308.84万元，期末结转结余9.19万元。与2017年度决算相比，收入增加157.28万元，增长105%，主要原因是上年度未完工的专项支出列入本年预算。支出减少159.43万元，下降34%，主要原因是项目支出较上年减少。</w:t>
      </w:r>
    </w:p>
    <w:p w14:paraId="302A685B">
      <w:pPr>
        <w:pStyle w:val="3"/>
        <w:spacing w:before="0" w:after="0" w:line="580" w:lineRule="exact"/>
        <w:ind w:firstLine="640" w:firstLineChars="200"/>
        <w:rPr>
          <w:rFonts w:ascii="黑体" w:eastAsia="黑体" w:cs="Times New Roman"/>
          <w:b w:val="0"/>
          <w:bCs w:val="0"/>
        </w:rPr>
      </w:pPr>
      <w:r>
        <w:rPr>
          <w:rFonts w:hint="eastAsia" w:ascii="黑体" w:eastAsia="黑体" w:cs="黑体"/>
          <w:b w:val="0"/>
          <w:bCs w:val="0"/>
        </w:rPr>
        <w:t>二、收入决算情况说明</w:t>
      </w:r>
    </w:p>
    <w:p w14:paraId="6E0AAF7F">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本部门2018年度本年收入合计307.12万元，其中：财政拨款收入307.12万元，占100%。如图所示：</w:t>
      </w:r>
    </w:p>
    <w:p w14:paraId="518BB2CF">
      <w:pPr>
        <w:pStyle w:val="3"/>
        <w:spacing w:before="0" w:after="0" w:line="580" w:lineRule="exact"/>
        <w:ind w:firstLine="643" w:firstLineChars="200"/>
        <w:rPr>
          <w:rFonts w:ascii="黑体" w:eastAsia="黑体"/>
          <w:b w:val="0"/>
          <w:bCs w:val="0"/>
        </w:rPr>
      </w:pPr>
      <w:r>
        <w:rPr>
          <w:rFonts w:hint="eastAsia" w:ascii="仿宋_GB2312" w:eastAsia="仿宋_GB2312" w:cs="DengXian-Regular"/>
          <w:sz w:val="32"/>
          <w:szCs w:val="32"/>
        </w:rPr>
        <w:drawing>
          <wp:anchor distT="0" distB="0" distL="0" distR="0" simplePos="0" relativeHeight="251682816" behindDoc="1" locked="0" layoutInCell="1" allowOverlap="1">
            <wp:simplePos x="0" y="0"/>
            <wp:positionH relativeFrom="column">
              <wp:posOffset>633730</wp:posOffset>
            </wp:positionH>
            <wp:positionV relativeFrom="paragraph">
              <wp:posOffset>105410</wp:posOffset>
            </wp:positionV>
            <wp:extent cx="4712335" cy="2406650"/>
            <wp:effectExtent l="5080" t="4445" r="6985" b="8255"/>
            <wp:wrapTight wrapText="bothSides">
              <wp:wrapPolygon>
                <wp:start x="-23" y="-40"/>
                <wp:lineTo x="-23" y="21503"/>
                <wp:lineTo x="21545" y="21503"/>
                <wp:lineTo x="21545" y="-40"/>
                <wp:lineTo x="-23" y="-40"/>
              </wp:wrapPolygon>
            </wp:wrapTight>
            <wp:docPr id="49" name="图表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14:paraId="7167A0E3">
      <w:pPr>
        <w:adjustRightInd w:val="0"/>
        <w:snapToGrid w:val="0"/>
        <w:spacing w:after="0" w:line="580" w:lineRule="exact"/>
        <w:ind w:firstLine="1920" w:firstLineChars="600"/>
        <w:rPr>
          <w:rFonts w:ascii="仿宋_GB2312" w:eastAsia="仿宋_GB2312"/>
          <w:sz w:val="32"/>
          <w:szCs w:val="32"/>
        </w:rPr>
      </w:pPr>
    </w:p>
    <w:p w14:paraId="524BB5C9">
      <w:pPr>
        <w:adjustRightInd w:val="0"/>
        <w:snapToGrid w:val="0"/>
        <w:spacing w:after="0" w:line="580" w:lineRule="exact"/>
        <w:ind w:firstLine="1920" w:firstLineChars="600"/>
        <w:rPr>
          <w:rFonts w:ascii="仿宋_GB2312" w:eastAsia="仿宋_GB2312"/>
          <w:sz w:val="32"/>
          <w:szCs w:val="32"/>
        </w:rPr>
      </w:pPr>
    </w:p>
    <w:p w14:paraId="082E8DF4">
      <w:pPr>
        <w:adjustRightInd w:val="0"/>
        <w:snapToGrid w:val="0"/>
        <w:spacing w:after="0" w:line="580" w:lineRule="exact"/>
        <w:ind w:firstLine="1920" w:firstLineChars="600"/>
        <w:rPr>
          <w:rFonts w:ascii="仿宋_GB2312" w:eastAsia="仿宋_GB2312"/>
          <w:sz w:val="32"/>
          <w:szCs w:val="32"/>
        </w:rPr>
      </w:pPr>
    </w:p>
    <w:p w14:paraId="5847CFF2">
      <w:pPr>
        <w:adjustRightInd w:val="0"/>
        <w:snapToGrid w:val="0"/>
        <w:spacing w:after="0" w:line="580" w:lineRule="exact"/>
        <w:ind w:firstLine="1920" w:firstLineChars="600"/>
        <w:rPr>
          <w:rFonts w:ascii="仿宋_GB2312" w:eastAsia="仿宋_GB2312"/>
          <w:sz w:val="32"/>
          <w:szCs w:val="32"/>
        </w:rPr>
      </w:pPr>
    </w:p>
    <w:p w14:paraId="77767740">
      <w:pPr>
        <w:adjustRightInd w:val="0"/>
        <w:snapToGrid w:val="0"/>
        <w:spacing w:after="0" w:line="580" w:lineRule="exact"/>
        <w:ind w:firstLine="1920" w:firstLineChars="600"/>
        <w:rPr>
          <w:rFonts w:ascii="仿宋_GB2312" w:eastAsia="仿宋_GB2312"/>
          <w:sz w:val="32"/>
          <w:szCs w:val="32"/>
        </w:rPr>
      </w:pPr>
    </w:p>
    <w:p w14:paraId="5BFBBFA7">
      <w:pPr>
        <w:pStyle w:val="3"/>
        <w:spacing w:before="0" w:after="0" w:line="580" w:lineRule="exact"/>
        <w:ind w:firstLine="643" w:firstLineChars="200"/>
        <w:rPr>
          <w:rFonts w:ascii="黑体" w:eastAsia="黑体" w:cs="Times New Roman"/>
        </w:rPr>
      </w:pPr>
    </w:p>
    <w:p w14:paraId="42226534">
      <w:pPr>
        <w:pStyle w:val="3"/>
        <w:spacing w:before="0" w:after="0" w:line="580" w:lineRule="exact"/>
        <w:ind w:firstLine="2811" w:firstLineChars="1000"/>
        <w:rPr>
          <w:rFonts w:hint="eastAsia" w:ascii="黑体" w:eastAsia="黑体"/>
          <w:b w:val="0"/>
          <w:bCs w:val="0"/>
          <w:sz w:val="28"/>
          <w:szCs w:val="28"/>
          <w:lang w:val="en-US" w:eastAsia="zh-CN"/>
        </w:rPr>
      </w:pPr>
      <w:r>
        <w:rPr>
          <w:rFonts w:hint="eastAsia" w:ascii="仿宋_GB2312" w:eastAsia="仿宋_GB2312" w:cs="DengXian-Regular"/>
          <w:sz w:val="28"/>
          <w:szCs w:val="28"/>
        </w:rPr>
        <w:t>图1：收入构成情况</w:t>
      </w:r>
    </w:p>
    <w:p w14:paraId="3B1E92BE">
      <w:pPr>
        <w:pStyle w:val="3"/>
        <w:spacing w:before="0" w:after="0" w:line="580" w:lineRule="exact"/>
        <w:ind w:firstLine="643" w:firstLineChars="200"/>
        <w:rPr>
          <w:rFonts w:ascii="黑体" w:eastAsia="黑体" w:cs="Times New Roman"/>
        </w:rPr>
      </w:pPr>
    </w:p>
    <w:p w14:paraId="677DB044">
      <w:pPr>
        <w:pStyle w:val="3"/>
        <w:spacing w:before="0" w:after="0" w:line="580" w:lineRule="exact"/>
        <w:ind w:firstLine="643" w:firstLineChars="200"/>
        <w:rPr>
          <w:rFonts w:ascii="黑体" w:eastAsia="黑体" w:cs="Times New Roman"/>
        </w:rPr>
      </w:pPr>
    </w:p>
    <w:p w14:paraId="77F3DD23"/>
    <w:p w14:paraId="1590FEAF">
      <w:pPr>
        <w:pStyle w:val="3"/>
        <w:spacing w:before="0" w:after="0" w:line="580" w:lineRule="exact"/>
        <w:ind w:firstLine="640" w:firstLineChars="200"/>
        <w:rPr>
          <w:rFonts w:ascii="黑体" w:eastAsia="黑体" w:cs="Times New Roman"/>
          <w:b w:val="0"/>
          <w:bCs w:val="0"/>
        </w:rPr>
      </w:pPr>
    </w:p>
    <w:p w14:paraId="748F1179">
      <w:pPr>
        <w:pStyle w:val="3"/>
        <w:spacing w:before="0" w:after="0" w:line="580" w:lineRule="exact"/>
        <w:ind w:firstLine="640" w:firstLineChars="200"/>
        <w:rPr>
          <w:rFonts w:ascii="黑体" w:eastAsia="黑体" w:cs="Times New Roman"/>
          <w:b w:val="0"/>
          <w:bCs w:val="0"/>
        </w:rPr>
      </w:pPr>
      <w:r>
        <w:rPr>
          <w:rFonts w:hint="eastAsia" w:ascii="黑体" w:eastAsia="黑体" w:cs="黑体"/>
          <w:b w:val="0"/>
          <w:bCs w:val="0"/>
        </w:rPr>
        <w:t>三、支出决算情况说明</w:t>
      </w:r>
    </w:p>
    <w:p w14:paraId="565F8C49">
      <w:pPr>
        <w:adjustRightInd w:val="0"/>
        <w:snapToGrid w:val="0"/>
        <w:spacing w:after="0" w:line="580" w:lineRule="exact"/>
        <w:ind w:firstLine="420" w:firstLineChars="200"/>
        <w:rPr>
          <w:rFonts w:ascii="黑体" w:eastAsia="黑体"/>
        </w:rPr>
      </w:pPr>
      <w:r>
        <w:rPr>
          <w:rFonts w:hint="eastAsia" w:eastAsiaTheme="minorEastAsia"/>
          <w:lang w:eastAsia="zh-CN"/>
        </w:rPr>
        <w:drawing>
          <wp:anchor distT="0" distB="0" distL="114300" distR="114300" simplePos="0" relativeHeight="251684864" behindDoc="0" locked="0" layoutInCell="1" allowOverlap="1">
            <wp:simplePos x="0" y="0"/>
            <wp:positionH relativeFrom="column">
              <wp:posOffset>715645</wp:posOffset>
            </wp:positionH>
            <wp:positionV relativeFrom="paragraph">
              <wp:posOffset>1094105</wp:posOffset>
            </wp:positionV>
            <wp:extent cx="4450715" cy="1963420"/>
            <wp:effectExtent l="4445" t="4445" r="21590" b="13335"/>
            <wp:wrapNone/>
            <wp:docPr id="50" name="图表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r>
        <w:rPr>
          <w:rFonts w:hint="eastAsia" w:ascii="仿宋_GB2312" w:eastAsia="仿宋_GB2312" w:cs="DengXian-Regular"/>
          <w:sz w:val="32"/>
          <w:szCs w:val="32"/>
        </w:rPr>
        <w:t>本部门2018年度本年支出合计308.84万元，其中：基本支出175.98万元，占56.98%；项目支出132.86万元，占43.02%。如图所示：</w:t>
      </w:r>
      <w:r>
        <w:rPr>
          <w:sz w:val="44"/>
        </w:rPr>
        <w:t xml:space="preserve"> </w:t>
      </w:r>
      <w:r>
        <w:rPr>
          <w:sz w:val="44"/>
        </w:rPr>
        <mc:AlternateContent>
          <mc:Choice Requires="wpg">
            <w:drawing>
              <wp:anchor distT="0" distB="0" distL="114300" distR="114300" simplePos="0" relativeHeight="251683840" behindDoc="0" locked="1" layoutInCell="1" allowOverlap="1">
                <wp:simplePos x="0" y="0"/>
                <wp:positionH relativeFrom="page">
                  <wp:posOffset>145415</wp:posOffset>
                </wp:positionH>
                <wp:positionV relativeFrom="page">
                  <wp:posOffset>524510</wp:posOffset>
                </wp:positionV>
                <wp:extent cx="3833495" cy="558165"/>
                <wp:effectExtent l="1270" t="0" r="13335" b="13335"/>
                <wp:wrapNone/>
                <wp:docPr id="70" name="组合 70"/>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71"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72"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2DFB2559">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3B4BE6FA">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11.45pt;margin-top:41.3pt;height:43.95pt;width:301.85pt;mso-position-horizontal-relative:page;mso-position-vertical-relative:page;z-index:251683840;mso-width-relative:page;mso-height-relative:page;" coordorigin="4551,52615" coordsize="8546,1398" o:gfxdata="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K86nYfZAAAACQEAAA8AAAAAAAAAAQAgAAAAIgAAAGRycy9kb3ducmV2LnhtbFBLAQIU&#10;ABQAAAAIAIdO4kArza9QSAMAAGYJAAAOAAAAAAAAAAEAIAAAACgBAABkcnMvZTJvRG9jLnhtbFBL&#10;BQYAAAAABgAGAFkBAADiBgAAAAA=&#10;">
                <o:lock v:ext="edit" aspectratio="f"/>
                <v:rect id="矩形 13" o:spid="_x0000_s1026" o:spt="1" style="position:absolute;left:4551;top:52615;height:1175;width:8546;v-text-anchor:middle;" fillcolor="#B8B8B8" filled="t" stroked="f" coordsize="21600,21600" o:gfxdata="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1iVnO/&#10;AAAA2w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UtUiv74AAADb&#10;AAAADwAAAGRycy9kb3ducmV2LnhtbEWPT2sCMRTE70K/Q3gFL6JZpVZZjR4qgiAVtB48PpLn7trN&#10;y5rEP/32jSB4HGbmN8x0fre1uJIPlWMF/V4Gglg7U3GhYP+z7I5BhIhssHZMCv4owHz21ppibtyN&#10;t3TdxUIkCIccFZQxNrmUQZdkMfRcQ5y8o/MWY5K+kMbjLcFtLQdZ9iktVpwWSmzoqyT9u7tYBYeN&#10;9gc9pPW503x8bxerUxXCSan2ez+bgIh0j6/ws70yCkYDeHxJP0DO/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tUiv7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14:paraId="2DFB2559">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3B4BE6FA">
                        <w:pPr>
                          <w:jc w:val="center"/>
                        </w:pPr>
                      </w:p>
                    </w:txbxContent>
                  </v:textbox>
                </v:rect>
                <w10:anchorlock/>
              </v:group>
            </w:pict>
          </mc:Fallback>
        </mc:AlternateContent>
      </w:r>
    </w:p>
    <w:p w14:paraId="053B67B0">
      <w:pPr>
        <w:adjustRightInd w:val="0"/>
        <w:snapToGrid w:val="0"/>
        <w:spacing w:after="0" w:line="580" w:lineRule="exact"/>
        <w:ind w:firstLine="1260" w:firstLineChars="600"/>
        <w:rPr>
          <w:rFonts w:ascii="仿宋_GB2312" w:eastAsia="仿宋_GB2312"/>
          <w:sz w:val="32"/>
          <w:szCs w:val="32"/>
        </w:rPr>
      </w:pPr>
      <w:r>
        <mc:AlternateContent>
          <mc:Choice Requires="wpg">
            <w:drawing>
              <wp:anchor distT="0" distB="0" distL="114300" distR="114300" simplePos="0" relativeHeight="251674624"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26" name="组合 24"/>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24" name="矩形 13"/>
                        <wps:cNvSpPr/>
                        <wps:spPr>
                          <a:xfrm>
                            <a:off x="4551" y="52615"/>
                            <a:ext cx="8546" cy="1175"/>
                          </a:xfrm>
                          <a:prstGeom prst="rect">
                            <a:avLst/>
                          </a:prstGeom>
                          <a:solidFill>
                            <a:srgbClr val="D9D9D9"/>
                          </a:solidFill>
                          <a:ln w="25400">
                            <a:noFill/>
                          </a:ln>
                        </wps:spPr>
                        <wps:bodyPr anchor="ctr" upright="1"/>
                      </wps:wsp>
                      <wps:wsp>
                        <wps:cNvPr id="25" name="矩形 14"/>
                        <wps:cNvSpPr/>
                        <wps:spPr>
                          <a:xfrm>
                            <a:off x="4577" y="52890"/>
                            <a:ext cx="8324" cy="1123"/>
                          </a:xfrm>
                          <a:prstGeom prst="rect">
                            <a:avLst/>
                          </a:prstGeom>
                          <a:solidFill>
                            <a:srgbClr val="AD002D"/>
                          </a:solidFill>
                          <a:ln w="25400" cap="flat" cmpd="sng">
                            <a:solidFill>
                              <a:srgbClr val="B0761F"/>
                            </a:solidFill>
                            <a:prstDash val="solid"/>
                            <a:round/>
                            <a:headEnd type="none" w="med" len="med"/>
                            <a:tailEnd type="none" w="med" len="med"/>
                          </a:ln>
                        </wps:spPr>
                        <wps:txbx>
                          <w:txbxContent>
                            <w:p w14:paraId="1AE9069B">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0326A941">
                              <w:pPr>
                                <w:jc w:val="center"/>
                              </w:pPr>
                            </w:p>
                          </w:txbxContent>
                        </wps:txbx>
                        <wps:bodyPr anchor="ctr" upright="1"/>
                      </wps:wsp>
                    </wpg:wgp>
                  </a:graphicData>
                </a:graphic>
              </wp:anchor>
            </w:drawing>
          </mc:Choice>
          <mc:Fallback>
            <w:pict>
              <v:group id="组合 24" o:spid="_x0000_s1026" o:spt="203" style="position:absolute;left:0pt;margin-left:-0.55pt;margin-top:29.3pt;height:43.95pt;width:301.85pt;mso-position-horizontal-relative:page;mso-position-vertical-relative:page;z-index:251674624;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">
                <o:lock v:ext="edit" aspectratio="f"/>
                <v:rect id="矩形 13" o:spid="_x0000_s1026" o:spt="1" style="position:absolute;left:4551;top:52615;height:1175;width:8546;v-text-anchor:middle;" fillcolor="#D9D9D9" filled="t" stroked="f" coordsize="21600,21600" o:gfxdata="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Bt4l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uv6ZOLwAAADb&#10;AAAADwAAAGRycy9kb3ducmV2LnhtbEWPQWvCQBSE7wX/w/KE3uquQm1IXYUKiseorV4f2dckNPs2&#10;7G4S/fduodDjMDPfMKvNzbZiIB8axxrmMwWCuHSm4UrD53n3koEIEdlg65g03CnAZj15WmFu3MhH&#10;Gk6xEgnCIUcNdYxdLmUoa7IYZq4jTt638xZjkr6SxuOY4LaVC6WW0mLDaaHGjrY1lT+n3mpYFh9b&#10;V56z/cVfG1W4fnfP3r60fp7O1TuISLf4H/5rH4yGxSv8fkk/QK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mTi8AAAA&#10;2wAAAA8AAAAAAAAAAQAgAAAAIgAAAGRycy9kb3ducmV2LnhtbFBLAQIUABQAAAAIAIdO4kAzLwWe&#10;OwAAADkAAAAQAAAAAAAAAAEAIAAAAAsBAABkcnMvc2hhcGV4bWwueG1sUEsFBgAAAAAGAAYAWwEA&#10;ALUDAAAAAA==&#10;">
                  <v:fill on="t" focussize="0,0"/>
                  <v:stroke weight="2pt" color="#B0761F" joinstyle="round"/>
                  <v:imagedata o:title=""/>
                  <o:lock v:ext="edit" aspectratio="f"/>
                  <v:textbox>
                    <w:txbxContent>
                      <w:p w14:paraId="1AE9069B">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0326A941">
                        <w:pPr>
                          <w:jc w:val="center"/>
                        </w:pPr>
                      </w:p>
                    </w:txbxContent>
                  </v:textbox>
                </v:rect>
                <w10:anchorlock/>
              </v:group>
            </w:pict>
          </mc:Fallback>
        </mc:AlternateContent>
      </w:r>
    </w:p>
    <w:p w14:paraId="48C8B73D">
      <w:pPr>
        <w:adjustRightInd w:val="0"/>
        <w:snapToGrid w:val="0"/>
        <w:spacing w:after="0" w:line="580" w:lineRule="exact"/>
        <w:ind w:firstLine="1920" w:firstLineChars="600"/>
        <w:rPr>
          <w:rFonts w:ascii="仿宋_GB2312" w:eastAsia="仿宋_GB2312"/>
          <w:sz w:val="32"/>
          <w:szCs w:val="32"/>
        </w:rPr>
      </w:pPr>
    </w:p>
    <w:p w14:paraId="1BEC5512">
      <w:pPr>
        <w:pStyle w:val="3"/>
        <w:spacing w:before="0" w:after="0" w:line="580" w:lineRule="exact"/>
        <w:ind w:firstLine="643" w:firstLineChars="200"/>
        <w:rPr>
          <w:rFonts w:ascii="黑体" w:eastAsia="黑体" w:cs="Times New Roman"/>
        </w:rPr>
      </w:pPr>
    </w:p>
    <w:p w14:paraId="64F92349">
      <w:pPr>
        <w:pStyle w:val="3"/>
        <w:spacing w:before="0" w:after="0" w:line="580" w:lineRule="exact"/>
        <w:ind w:firstLine="643" w:firstLineChars="200"/>
        <w:rPr>
          <w:rFonts w:ascii="黑体" w:eastAsia="黑体" w:cs="Times New Roman"/>
        </w:rPr>
      </w:pPr>
    </w:p>
    <w:p w14:paraId="61457379">
      <w:pPr>
        <w:pStyle w:val="3"/>
        <w:spacing w:before="0" w:after="0" w:line="580" w:lineRule="exact"/>
        <w:ind w:firstLine="643" w:firstLineChars="200"/>
        <w:rPr>
          <w:rFonts w:ascii="黑体" w:eastAsia="黑体" w:cs="Times New Roman"/>
        </w:rPr>
      </w:pPr>
    </w:p>
    <w:p w14:paraId="68B070D6">
      <w:pPr>
        <w:pStyle w:val="3"/>
        <w:spacing w:before="0" w:after="0" w:line="580" w:lineRule="exact"/>
        <w:ind w:firstLine="640" w:firstLineChars="200"/>
        <w:rPr>
          <w:rFonts w:ascii="黑体" w:eastAsia="黑体" w:cs="Times New Roman"/>
          <w:b w:val="0"/>
          <w:bCs w:val="0"/>
        </w:rPr>
      </w:pPr>
    </w:p>
    <w:p w14:paraId="79966816">
      <w:pPr>
        <w:pStyle w:val="3"/>
        <w:spacing w:before="0" w:after="0" w:line="580" w:lineRule="exact"/>
        <w:ind w:firstLine="1968" w:firstLineChars="700"/>
        <w:rPr>
          <w:rFonts w:hint="eastAsia" w:ascii="黑体" w:eastAsia="黑体"/>
          <w:bCs w:val="0"/>
        </w:rPr>
      </w:pPr>
      <w:r>
        <w:rPr>
          <w:rFonts w:hint="eastAsia" w:ascii="仿宋_GB2312" w:eastAsia="仿宋_GB2312" w:cs="DengXian-Regular"/>
          <w:sz w:val="28"/>
          <w:szCs w:val="28"/>
        </w:rPr>
        <w:t>图2：支出构成情况（按支出性质）</w:t>
      </w:r>
    </w:p>
    <w:p w14:paraId="3D0F4CD8">
      <w:pPr>
        <w:pStyle w:val="3"/>
        <w:spacing w:before="0" w:after="0" w:line="580" w:lineRule="exact"/>
        <w:ind w:firstLine="640" w:firstLineChars="200"/>
        <w:rPr>
          <w:rFonts w:ascii="黑体" w:eastAsia="黑体" w:cs="Times New Roman"/>
          <w:b w:val="0"/>
          <w:bCs w:val="0"/>
        </w:rPr>
      </w:pPr>
    </w:p>
    <w:p w14:paraId="648DFE38">
      <w:pPr>
        <w:pStyle w:val="3"/>
        <w:spacing w:before="0" w:after="0" w:line="580" w:lineRule="exact"/>
        <w:ind w:firstLine="640" w:firstLineChars="200"/>
        <w:rPr>
          <w:rFonts w:ascii="黑体" w:eastAsia="黑体" w:cs="Times New Roman"/>
          <w:b w:val="0"/>
          <w:bCs w:val="0"/>
        </w:rPr>
      </w:pPr>
      <w:r>
        <w:rPr>
          <w:rFonts w:hint="eastAsia" w:ascii="黑体" w:eastAsia="黑体" w:cs="黑体"/>
          <w:b w:val="0"/>
          <w:bCs w:val="0"/>
        </w:rPr>
        <w:t>四、</w:t>
      </w:r>
      <w:r>
        <w:rPr>
          <w:rFonts w:hint="eastAsia" w:ascii="黑体" w:hAnsi="Cambria" w:eastAsia="黑体" w:cs="黑体"/>
          <w:b w:val="0"/>
          <w:bCs w:val="0"/>
          <w:kern w:val="0"/>
        </w:rPr>
        <w:t>财政</w:t>
      </w:r>
      <w:r>
        <w:rPr>
          <w:rFonts w:hint="eastAsia" w:ascii="黑体" w:eastAsia="黑体" w:cs="黑体"/>
          <w:b w:val="0"/>
          <w:bCs w:val="0"/>
        </w:rPr>
        <w:t>拨款收入支出决算情况说明</w:t>
      </w:r>
    </w:p>
    <w:p w14:paraId="3C41561A">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14:paraId="7735E57F">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307.12万元,比2017年度增加157.28万元，增长105%，主要是主要原因是上年度未完工的专项项目支出列入本年预算；本年支出308.84万元，减少159.43万元，降低34%，主要是项目支出较上年减少。如图所示：</w:t>
      </w:r>
    </w:p>
    <w:p w14:paraId="696C41F3">
      <w:pPr>
        <w:adjustRightInd w:val="0"/>
        <w:snapToGrid w:val="0"/>
        <w:spacing w:after="0" w:line="360" w:lineRule="auto"/>
        <w:ind w:firstLine="640" w:firstLineChars="200"/>
        <w:rPr>
          <w:rFonts w:ascii="仿宋_GB2312" w:eastAsia="仿宋_GB2312"/>
          <w:sz w:val="32"/>
          <w:szCs w:val="32"/>
        </w:rPr>
      </w:pPr>
    </w:p>
    <w:p w14:paraId="21E8A556">
      <w:pPr>
        <w:adjustRightInd w:val="0"/>
        <w:snapToGrid w:val="0"/>
        <w:spacing w:after="0" w:line="360" w:lineRule="auto"/>
        <w:ind w:firstLine="420" w:firstLineChars="200"/>
        <w:rPr>
          <w:rFonts w:ascii="仿宋_GB2312" w:eastAsia="仿宋_GB2312"/>
          <w:sz w:val="32"/>
          <w:szCs w:val="32"/>
        </w:rPr>
      </w:pPr>
      <w:r>
        <w:rPr>
          <w:rFonts w:hint="eastAsia" w:eastAsiaTheme="minorEastAsia"/>
          <w:lang w:eastAsia="zh-CN"/>
        </w:rPr>
        <w:drawing>
          <wp:anchor distT="0" distB="0" distL="114300" distR="114300" simplePos="0" relativeHeight="251685888" behindDoc="0" locked="0" layoutInCell="1" allowOverlap="1">
            <wp:simplePos x="0" y="0"/>
            <wp:positionH relativeFrom="column">
              <wp:posOffset>334645</wp:posOffset>
            </wp:positionH>
            <wp:positionV relativeFrom="paragraph">
              <wp:posOffset>78105</wp:posOffset>
            </wp:positionV>
            <wp:extent cx="4784725" cy="3258185"/>
            <wp:effectExtent l="4445" t="5080" r="11430" b="13335"/>
            <wp:wrapNone/>
            <wp:docPr id="52" name="图表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14:paraId="716522D6">
      <w:pPr>
        <w:adjustRightInd w:val="0"/>
        <w:snapToGrid w:val="0"/>
        <w:spacing w:after="0" w:line="580" w:lineRule="exact"/>
        <w:ind w:firstLine="640" w:firstLineChars="200"/>
        <w:rPr>
          <w:rFonts w:ascii="仿宋_GB2312" w:eastAsia="仿宋_GB2312"/>
          <w:sz w:val="32"/>
          <w:szCs w:val="32"/>
        </w:rPr>
      </w:pPr>
    </w:p>
    <w:p w14:paraId="6170B7E0">
      <w:pPr>
        <w:adjustRightInd w:val="0"/>
        <w:snapToGrid w:val="0"/>
        <w:spacing w:after="0" w:line="580" w:lineRule="exact"/>
        <w:ind w:firstLine="640" w:firstLineChars="200"/>
        <w:rPr>
          <w:rFonts w:ascii="仿宋_GB2312" w:eastAsia="仿宋_GB2312"/>
          <w:sz w:val="32"/>
          <w:szCs w:val="32"/>
        </w:rPr>
      </w:pPr>
    </w:p>
    <w:p w14:paraId="6815C5E9">
      <w:pPr>
        <w:adjustRightInd w:val="0"/>
        <w:snapToGrid w:val="0"/>
        <w:spacing w:after="0" w:line="580" w:lineRule="exact"/>
        <w:ind w:firstLine="640" w:firstLineChars="200"/>
        <w:rPr>
          <w:rFonts w:ascii="仿宋_GB2312" w:eastAsia="仿宋_GB2312"/>
          <w:sz w:val="32"/>
          <w:szCs w:val="32"/>
        </w:rPr>
      </w:pPr>
    </w:p>
    <w:p w14:paraId="654D7960">
      <w:pPr>
        <w:adjustRightInd w:val="0"/>
        <w:snapToGrid w:val="0"/>
        <w:spacing w:after="0" w:line="580" w:lineRule="exact"/>
        <w:ind w:firstLine="640" w:firstLineChars="200"/>
        <w:rPr>
          <w:rFonts w:ascii="仿宋_GB2312" w:eastAsia="仿宋_GB2312"/>
          <w:sz w:val="32"/>
          <w:szCs w:val="32"/>
        </w:rPr>
      </w:pPr>
    </w:p>
    <w:p w14:paraId="427FBB2B">
      <w:pPr>
        <w:adjustRightInd w:val="0"/>
        <w:snapToGrid w:val="0"/>
        <w:spacing w:after="0" w:line="580" w:lineRule="exact"/>
        <w:ind w:firstLine="640" w:firstLineChars="200"/>
        <w:rPr>
          <w:rFonts w:ascii="仿宋_GB2312" w:eastAsia="仿宋_GB2312"/>
          <w:sz w:val="32"/>
          <w:szCs w:val="32"/>
        </w:rPr>
      </w:pPr>
    </w:p>
    <w:p w14:paraId="348D1DC5">
      <w:pPr>
        <w:adjustRightInd w:val="0"/>
        <w:snapToGrid w:val="0"/>
        <w:spacing w:after="0" w:line="580" w:lineRule="exact"/>
        <w:ind w:firstLine="640" w:firstLineChars="200"/>
        <w:rPr>
          <w:rFonts w:ascii="仿宋_GB2312" w:eastAsia="仿宋_GB2312"/>
          <w:sz w:val="32"/>
          <w:szCs w:val="32"/>
        </w:rPr>
      </w:pPr>
    </w:p>
    <w:p w14:paraId="2B071D4E">
      <w:pPr>
        <w:adjustRightInd w:val="0"/>
        <w:snapToGrid w:val="0"/>
        <w:spacing w:after="0" w:line="580" w:lineRule="exact"/>
        <w:ind w:firstLine="640" w:firstLineChars="200"/>
        <w:rPr>
          <w:rFonts w:ascii="仿宋_GB2312" w:eastAsia="仿宋_GB2312"/>
          <w:sz w:val="32"/>
          <w:szCs w:val="32"/>
        </w:rPr>
      </w:pPr>
    </w:p>
    <w:p w14:paraId="1A261270">
      <w:pPr>
        <w:adjustRightInd w:val="0"/>
        <w:snapToGrid w:val="0"/>
        <w:spacing w:after="0" w:line="580" w:lineRule="exact"/>
        <w:ind w:firstLine="640" w:firstLineChars="200"/>
        <w:rPr>
          <w:rFonts w:ascii="仿宋_GB2312" w:eastAsia="仿宋_GB2312"/>
          <w:sz w:val="32"/>
          <w:szCs w:val="32"/>
        </w:rPr>
      </w:pPr>
    </w:p>
    <w:p w14:paraId="239CA1C9">
      <w:pPr>
        <w:adjustRightInd w:val="0"/>
        <w:snapToGrid w:val="0"/>
        <w:spacing w:line="560" w:lineRule="exact"/>
        <w:jc w:val="center"/>
        <w:rPr>
          <w:rFonts w:hint="eastAsia" w:ascii="楷体_GB2312" w:eastAsia="楷体_GB2312" w:cs="楷体_GB2312"/>
          <w:b/>
          <w:bCs/>
          <w:sz w:val="32"/>
          <w:szCs w:val="32"/>
        </w:rPr>
      </w:pPr>
      <w:r>
        <w:rPr>
          <w:rFonts w:hint="eastAsia" w:ascii="仿宋_GB2312" w:eastAsia="仿宋_GB2312" w:cs="DengXian-Regular"/>
          <w:sz w:val="28"/>
          <w:szCs w:val="28"/>
        </w:rPr>
        <w:t>图3：2017-2018年财政拨款收支情况</w:t>
      </w:r>
    </w:p>
    <w:p w14:paraId="24943D82">
      <w:pPr>
        <w:spacing w:after="0" w:line="580" w:lineRule="exact"/>
        <w:ind w:firstLine="643" w:firstLineChars="200"/>
        <w:rPr>
          <w:rFonts w:ascii="仿宋_GB2312" w:eastAsia="仿宋_GB2312"/>
          <w:b/>
          <w:bCs/>
          <w:sz w:val="32"/>
          <w:szCs w:val="32"/>
        </w:rPr>
      </w:pPr>
      <w:r>
        <w:rPr>
          <w:rFonts w:hint="eastAsia" w:ascii="楷体_GB2312" w:eastAsia="楷体_GB2312" w:cs="楷体_GB2312"/>
          <w:b/>
          <w:bCs/>
          <w:sz w:val="32"/>
          <w:szCs w:val="32"/>
        </w:rPr>
        <w:t>（二）财政拨款收支与年初预算数对比情况</w:t>
      </w:r>
    </w:p>
    <w:p w14:paraId="2DF009E5">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307.12万元，完成年初预算的178%,比年初预算增加135.09万元，决算数大于预算数主要原因是上年度未完工的专项支出未列入年度预算；本年支出308.84万元，完成年初预算的180%,比年初预算增加136.81万元，决算数大于预算数主要原因是专项项目支出未列入年初预算。如图所示：</w:t>
      </w:r>
    </w:p>
    <w:p w14:paraId="50AB6657">
      <w:pPr>
        <w:adjustRightInd w:val="0"/>
        <w:snapToGrid w:val="0"/>
        <w:spacing w:after="0" w:line="360" w:lineRule="auto"/>
        <w:ind w:firstLine="640" w:firstLineChars="200"/>
        <w:rPr>
          <w:rFonts w:ascii="仿宋_GB2312" w:eastAsia="仿宋_GB2312"/>
          <w:sz w:val="32"/>
          <w:szCs w:val="32"/>
        </w:rPr>
      </w:pPr>
    </w:p>
    <w:p w14:paraId="2575474F">
      <w:pPr>
        <w:adjustRightInd w:val="0"/>
        <w:snapToGrid w:val="0"/>
        <w:spacing w:after="0" w:line="580" w:lineRule="exact"/>
        <w:ind w:firstLine="640" w:firstLineChars="200"/>
        <w:rPr>
          <w:rFonts w:ascii="仿宋_GB2312" w:eastAsia="仿宋_GB2312" w:cs="DengXian-Regular"/>
          <w:sz w:val="32"/>
          <w:szCs w:val="32"/>
        </w:rPr>
      </w:pPr>
    </w:p>
    <w:p w14:paraId="56E77778">
      <w:pPr>
        <w:adjustRightInd w:val="0"/>
        <w:snapToGrid w:val="0"/>
        <w:spacing w:after="0" w:line="580" w:lineRule="exact"/>
        <w:ind w:firstLine="640" w:firstLineChars="200"/>
        <w:rPr>
          <w:rFonts w:ascii="仿宋_GB2312" w:eastAsia="仿宋_GB2312"/>
          <w:sz w:val="32"/>
          <w:szCs w:val="32"/>
          <w:highlight w:val="yellow"/>
        </w:rPr>
      </w:pPr>
    </w:p>
    <w:p w14:paraId="63858820">
      <w:pPr>
        <w:adjustRightInd w:val="0"/>
        <w:snapToGrid w:val="0"/>
        <w:spacing w:after="0" w:line="580" w:lineRule="exact"/>
        <w:ind w:firstLine="640" w:firstLineChars="200"/>
        <w:rPr>
          <w:rFonts w:ascii="仿宋_GB2312" w:eastAsia="仿宋_GB2312"/>
          <w:sz w:val="32"/>
          <w:szCs w:val="32"/>
          <w:highlight w:val="yellow"/>
        </w:rPr>
      </w:pPr>
    </w:p>
    <w:p w14:paraId="27218A94">
      <w:pPr>
        <w:adjustRightInd w:val="0"/>
        <w:snapToGrid w:val="0"/>
        <w:spacing w:after="0" w:line="580" w:lineRule="exact"/>
        <w:ind w:firstLine="640" w:firstLineChars="200"/>
        <w:rPr>
          <w:rFonts w:ascii="仿宋_GB2312" w:eastAsia="仿宋_GB2312"/>
          <w:sz w:val="32"/>
          <w:szCs w:val="32"/>
          <w:highlight w:val="yellow"/>
        </w:rPr>
      </w:pPr>
    </w:p>
    <w:p w14:paraId="4D175E9C">
      <w:pPr>
        <w:adjustRightInd w:val="0"/>
        <w:snapToGrid w:val="0"/>
        <w:spacing w:after="0" w:line="580" w:lineRule="exact"/>
        <w:ind w:firstLine="640" w:firstLineChars="200"/>
        <w:rPr>
          <w:rFonts w:ascii="仿宋_GB2312" w:eastAsia="仿宋_GB2312"/>
          <w:sz w:val="32"/>
          <w:szCs w:val="32"/>
          <w:highlight w:val="yellow"/>
        </w:rPr>
      </w:pPr>
    </w:p>
    <w:p w14:paraId="2FFD82A5">
      <w:pPr>
        <w:adjustRightInd w:val="0"/>
        <w:snapToGrid w:val="0"/>
        <w:spacing w:after="0" w:line="580" w:lineRule="exact"/>
        <w:ind w:firstLine="420" w:firstLineChars="200"/>
        <w:rPr>
          <w:rFonts w:ascii="仿宋_GB2312" w:eastAsia="仿宋_GB2312"/>
          <w:sz w:val="32"/>
          <w:szCs w:val="32"/>
          <w:highlight w:val="yellow"/>
        </w:rPr>
      </w:pPr>
      <w:r>
        <w:rPr>
          <w:rFonts w:hint="eastAsia" w:eastAsiaTheme="minorEastAsia"/>
          <w:lang w:eastAsia="zh-CN"/>
        </w:rPr>
        <w:drawing>
          <wp:anchor distT="0" distB="0" distL="114300" distR="114300" simplePos="0" relativeHeight="251686912" behindDoc="0" locked="0" layoutInCell="1" allowOverlap="1">
            <wp:simplePos x="0" y="0"/>
            <wp:positionH relativeFrom="column">
              <wp:posOffset>353695</wp:posOffset>
            </wp:positionH>
            <wp:positionV relativeFrom="paragraph">
              <wp:posOffset>135255</wp:posOffset>
            </wp:positionV>
            <wp:extent cx="4727575" cy="2867025"/>
            <wp:effectExtent l="4445" t="4445" r="11430" b="5080"/>
            <wp:wrapNone/>
            <wp:docPr id="53" name="图表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14:paraId="57418FE9">
      <w:pPr>
        <w:adjustRightInd w:val="0"/>
        <w:snapToGrid w:val="0"/>
        <w:spacing w:after="0" w:line="580" w:lineRule="exact"/>
        <w:ind w:firstLine="640" w:firstLineChars="200"/>
        <w:rPr>
          <w:rFonts w:ascii="仿宋_GB2312" w:eastAsia="仿宋_GB2312"/>
          <w:sz w:val="32"/>
          <w:szCs w:val="32"/>
          <w:highlight w:val="yellow"/>
        </w:rPr>
      </w:pPr>
    </w:p>
    <w:p w14:paraId="52500954">
      <w:pPr>
        <w:adjustRightInd w:val="0"/>
        <w:snapToGrid w:val="0"/>
        <w:spacing w:after="0" w:line="580" w:lineRule="exact"/>
        <w:ind w:firstLine="640" w:firstLineChars="200"/>
        <w:rPr>
          <w:rFonts w:ascii="仿宋_GB2312" w:eastAsia="仿宋_GB2312"/>
          <w:sz w:val="32"/>
          <w:szCs w:val="32"/>
          <w:highlight w:val="yellow"/>
        </w:rPr>
      </w:pPr>
    </w:p>
    <w:p w14:paraId="044B05B8">
      <w:pPr>
        <w:adjustRightInd w:val="0"/>
        <w:snapToGrid w:val="0"/>
        <w:spacing w:after="0" w:line="580" w:lineRule="exact"/>
        <w:ind w:firstLine="640" w:firstLineChars="200"/>
        <w:rPr>
          <w:rFonts w:ascii="仿宋_GB2312" w:eastAsia="仿宋_GB2312"/>
          <w:sz w:val="32"/>
          <w:szCs w:val="32"/>
          <w:highlight w:val="yellow"/>
        </w:rPr>
      </w:pPr>
    </w:p>
    <w:p w14:paraId="70C50BBC">
      <w:pPr>
        <w:adjustRightInd w:val="0"/>
        <w:snapToGrid w:val="0"/>
        <w:spacing w:after="0" w:line="580" w:lineRule="exact"/>
        <w:ind w:firstLine="640" w:firstLineChars="200"/>
        <w:rPr>
          <w:rFonts w:ascii="仿宋_GB2312" w:eastAsia="仿宋_GB2312"/>
          <w:sz w:val="32"/>
          <w:szCs w:val="32"/>
          <w:highlight w:val="yellow"/>
        </w:rPr>
      </w:pPr>
    </w:p>
    <w:p w14:paraId="0AE5DEA7">
      <w:pPr>
        <w:adjustRightInd w:val="0"/>
        <w:snapToGrid w:val="0"/>
        <w:spacing w:after="0" w:line="580" w:lineRule="exact"/>
        <w:ind w:firstLine="640" w:firstLineChars="200"/>
        <w:rPr>
          <w:rFonts w:ascii="仿宋_GB2312" w:eastAsia="仿宋_GB2312"/>
          <w:sz w:val="32"/>
          <w:szCs w:val="32"/>
          <w:highlight w:val="yellow"/>
        </w:rPr>
      </w:pPr>
    </w:p>
    <w:p w14:paraId="4EA191DF">
      <w:pPr>
        <w:adjustRightInd w:val="0"/>
        <w:snapToGrid w:val="0"/>
        <w:spacing w:after="0" w:line="580" w:lineRule="exact"/>
        <w:ind w:firstLine="640" w:firstLineChars="200"/>
        <w:rPr>
          <w:rFonts w:ascii="仿宋_GB2312" w:eastAsia="仿宋_GB2312"/>
          <w:sz w:val="32"/>
          <w:szCs w:val="32"/>
          <w:highlight w:val="yellow"/>
        </w:rPr>
      </w:pPr>
    </w:p>
    <w:p w14:paraId="164D09E2">
      <w:pPr>
        <w:numPr>
          <w:ilvl w:val="0"/>
          <w:numId w:val="1"/>
        </w:numPr>
        <w:adjustRightInd w:val="0"/>
        <w:snapToGrid w:val="0"/>
        <w:spacing w:after="0" w:line="580" w:lineRule="exact"/>
        <w:ind w:left="420" w:leftChars="200"/>
        <w:rPr>
          <w:rFonts w:ascii="楷体_GB2312" w:eastAsia="楷体_GB2312"/>
          <w:b/>
          <w:bCs/>
          <w:sz w:val="32"/>
          <w:szCs w:val="32"/>
        </w:rPr>
      </w:pPr>
      <w:r>
        <w:rPr>
          <w:rFonts w:hint="eastAsia" w:ascii="楷体_GB2312" w:eastAsia="楷体_GB2312" w:cs="楷体_GB2312"/>
          <w:b/>
          <w:bCs/>
          <w:sz w:val="32"/>
          <w:szCs w:val="32"/>
        </w:rPr>
        <w:t>财政拨款支出决算结构情况。</w:t>
      </w:r>
    </w:p>
    <w:p w14:paraId="62D95675">
      <w:pPr>
        <w:adjustRightInd w:val="0"/>
        <w:snapToGrid w:val="0"/>
        <w:spacing w:after="0" w:line="580" w:lineRule="exact"/>
        <w:ind w:firstLine="2160" w:firstLineChars="900"/>
        <w:rPr>
          <w:rFonts w:hint="eastAsia" w:ascii="仿宋_GB2312" w:eastAsia="仿宋_GB2312" w:cs="DengXian-Regular"/>
          <w:sz w:val="32"/>
          <w:szCs w:val="32"/>
        </w:rPr>
      </w:pPr>
      <w:r>
        <w:rPr>
          <w:rFonts w:hint="eastAsia" w:ascii="仿宋_GB2312" w:eastAsia="仿宋_GB2312" w:cs="DengXian-Regular"/>
          <w:sz w:val="24"/>
        </w:rPr>
        <w:t>图4：财政拨款收支预决算对比情况</w:t>
      </w:r>
    </w:p>
    <w:p w14:paraId="190125D0">
      <w:pPr>
        <w:adjustRightInd w:val="0"/>
        <w:snapToGrid w:val="0"/>
        <w:spacing w:after="0" w:line="360" w:lineRule="auto"/>
        <w:ind w:firstLine="640" w:firstLineChars="200"/>
        <w:rPr>
          <w:rFonts w:ascii="仿宋_GB2312" w:eastAsia="仿宋_GB2312" w:cs="仿宋_GB2312"/>
          <w:sz w:val="32"/>
          <w:szCs w:val="32"/>
        </w:rPr>
      </w:pPr>
    </w:p>
    <w:p w14:paraId="2BD68682">
      <w:pPr>
        <w:numPr>
          <w:ilvl w:val="0"/>
          <w:numId w:val="2"/>
        </w:numPr>
        <w:adjustRightInd w:val="0"/>
        <w:snapToGrid w:val="0"/>
        <w:spacing w:after="0" w:line="580" w:lineRule="exact"/>
        <w:ind w:firstLine="643" w:firstLineChars="200"/>
        <w:rPr>
          <w:rFonts w:hint="eastAsia" w:ascii="楷体_GB2312" w:eastAsia="楷体_GB2312" w:cs="楷体_GB2312"/>
          <w:b/>
          <w:bCs/>
          <w:sz w:val="32"/>
          <w:szCs w:val="32"/>
        </w:rPr>
      </w:pPr>
      <w:r>
        <w:rPr>
          <w:rFonts w:hint="eastAsia" w:ascii="楷体_GB2312" w:eastAsia="楷体_GB2312" w:cs="楷体_GB2312"/>
          <w:b/>
          <w:bCs/>
          <w:sz w:val="32"/>
          <w:szCs w:val="32"/>
        </w:rPr>
        <w:t>财政拨款支出决算结构情况。</w:t>
      </w:r>
    </w:p>
    <w:p w14:paraId="498CA4DD">
      <w:pPr>
        <w:numPr>
          <w:ilvl w:val="0"/>
          <w:numId w:val="0"/>
        </w:numPr>
        <w:adjustRightInd w:val="0"/>
        <w:snapToGrid w:val="0"/>
        <w:spacing w:after="0" w:line="580" w:lineRule="exact"/>
        <w:ind w:firstLine="640" w:firstLineChars="200"/>
        <w:rPr>
          <w:rFonts w:ascii="楷体_GB2312" w:eastAsia="楷体_GB2312"/>
          <w:b/>
          <w:bCs/>
          <w:sz w:val="32"/>
          <w:szCs w:val="32"/>
        </w:rPr>
      </w:pPr>
      <w:r>
        <w:rPr>
          <w:rFonts w:hint="eastAsia" w:ascii="仿宋_GB2312" w:eastAsia="仿宋_GB2312" w:cs="DengXian-Regular"/>
          <w:sz w:val="32"/>
          <w:szCs w:val="32"/>
        </w:rPr>
        <w:t>2018 年度财政拨款支出308.84万元，主要用于以下方面：粮油和物资储备支出308.84万元，占100%。</w:t>
      </w:r>
    </w:p>
    <w:p w14:paraId="32859832">
      <w:pPr>
        <w:adjustRightInd w:val="0"/>
        <w:snapToGrid w:val="0"/>
        <w:spacing w:after="0" w:line="580" w:lineRule="exact"/>
        <w:ind w:left="420" w:leftChars="200"/>
        <w:rPr>
          <w:rFonts w:ascii="楷体_GB2312" w:eastAsia="楷体_GB2312"/>
          <w:b/>
          <w:bCs/>
          <w:sz w:val="32"/>
          <w:szCs w:val="32"/>
        </w:rPr>
      </w:pPr>
      <w:r>
        <mc:AlternateContent>
          <mc:Choice Requires="wpg">
            <w:drawing>
              <wp:anchor distT="0" distB="0" distL="114300" distR="114300" simplePos="0" relativeHeight="251675648"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29" name="组合 30"/>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27" name="矩形 13"/>
                        <wps:cNvSpPr/>
                        <wps:spPr>
                          <a:xfrm>
                            <a:off x="4551" y="52615"/>
                            <a:ext cx="8546" cy="1175"/>
                          </a:xfrm>
                          <a:prstGeom prst="rect">
                            <a:avLst/>
                          </a:prstGeom>
                          <a:solidFill>
                            <a:srgbClr val="D9D9D9"/>
                          </a:solidFill>
                          <a:ln w="25400">
                            <a:noFill/>
                          </a:ln>
                        </wps:spPr>
                        <wps:bodyPr anchor="ctr" upright="1"/>
                      </wps:wsp>
                      <wps:wsp>
                        <wps:cNvPr id="28" name="矩形 14"/>
                        <wps:cNvSpPr/>
                        <wps:spPr>
                          <a:xfrm>
                            <a:off x="4577" y="52890"/>
                            <a:ext cx="8324" cy="1123"/>
                          </a:xfrm>
                          <a:prstGeom prst="rect">
                            <a:avLst/>
                          </a:prstGeom>
                          <a:solidFill>
                            <a:srgbClr val="AD002D"/>
                          </a:solidFill>
                          <a:ln w="25400" cap="flat" cmpd="sng">
                            <a:solidFill>
                              <a:srgbClr val="B0761F"/>
                            </a:solidFill>
                            <a:prstDash val="solid"/>
                            <a:round/>
                            <a:headEnd type="none" w="med" len="med"/>
                            <a:tailEnd type="none" w="med" len="med"/>
                          </a:ln>
                        </wps:spPr>
                        <wps:txbx>
                          <w:txbxContent>
                            <w:p w14:paraId="0935AAAA">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5989ECCC">
                              <w:pPr>
                                <w:jc w:val="center"/>
                              </w:pPr>
                            </w:p>
                          </w:txbxContent>
                        </wps:txbx>
                        <wps:bodyPr anchor="ctr" upright="1"/>
                      </wps:wsp>
                    </wpg:wgp>
                  </a:graphicData>
                </a:graphic>
              </wp:anchor>
            </w:drawing>
          </mc:Choice>
          <mc:Fallback>
            <w:pict>
              <v:group id="组合 30" o:spid="_x0000_s1026" o:spt="203" style="position:absolute;left:0pt;margin-left:-0.55pt;margin-top:29.3pt;height:43.95pt;width:301.85pt;mso-position-horizontal-relative:page;mso-position-vertical-relative:page;z-index:251675648;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">
                <o:lock v:ext="edit" aspectratio="f"/>
                <v:rect id="矩形 13" o:spid="_x0000_s1026" o:spt="1" style="position:absolute;left:4551;top:52615;height:1175;width:8546;v-text-anchor:middle;" fillcolor="#D9D9D9" filled="t" stroked="f" coordsize="21600,21600" o:gfxdata="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syebi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VP82prkAAADb&#10;AAAADwAAAGRycy9kb3ducmV2LnhtbEVPz2vCMBS+D/wfwhN2m4keXKlGQUHZ0bVuXh/Nsy02LyWJ&#10;tv73y2Hg8eP7vd6OthMP8qF1rGE+UyCIK2darjWcy8NHBiJEZIOdY9LwpADbzeRtjblxA3/To4i1&#10;SCEcctTQxNjnUoaqIYth5nrixF2dtxgT9LU0HocUbju5UGopLbacGhrsad9QdSvuVsPytNu7qsyO&#10;v/7SqpO7H57Z54/W79O5WoGINMaX+N/9ZTQs0tj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T/Nqa5AAAA2wAA&#10;AA8AAAAAAAAAAQAgAAAAIgAAAGRycy9kb3ducmV2LnhtbFBLAQIUABQAAAAIAIdO4kAzLwWeOwAA&#10;ADkAAAAQAAAAAAAAAAEAIAAAAAgBAABkcnMvc2hhcGV4bWwueG1sUEsFBgAAAAAGAAYAWwEAALID&#10;AAAAAA==&#10;">
                  <v:fill on="t" focussize="0,0"/>
                  <v:stroke weight="2pt" color="#B0761F" joinstyle="round"/>
                  <v:imagedata o:title=""/>
                  <o:lock v:ext="edit" aspectratio="f"/>
                  <v:textbox>
                    <w:txbxContent>
                      <w:p w14:paraId="0935AAAA">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5989ECCC">
                        <w:pPr>
                          <w:jc w:val="center"/>
                        </w:pPr>
                      </w:p>
                    </w:txbxContent>
                  </v:textbox>
                </v:rect>
                <w10:anchorlock/>
              </v:group>
            </w:pict>
          </mc:Fallback>
        </mc:AlternateContent>
      </w:r>
      <w:r>
        <w:rPr>
          <w:rFonts w:hint="eastAsia" w:ascii="楷体_GB2312" w:eastAsia="楷体_GB2312" w:cs="楷体_GB2312"/>
          <w:b/>
          <w:bCs/>
          <w:sz w:val="32"/>
          <w:szCs w:val="32"/>
        </w:rPr>
        <w:t>（四）一般公共预算财政拨款基本支出决算情况说明</w:t>
      </w:r>
    </w:p>
    <w:p w14:paraId="5BBDA7B0">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175.98万元，其中：人员经费143.56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32.42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33F9CD07">
      <w:pPr>
        <w:pStyle w:val="3"/>
        <w:spacing w:before="0" w:after="0" w:line="580" w:lineRule="exact"/>
        <w:ind w:firstLine="640" w:firstLineChars="200"/>
        <w:rPr>
          <w:rFonts w:ascii="黑体" w:eastAsia="黑体" w:cs="Times New Roman"/>
          <w:b w:val="0"/>
          <w:bCs w:val="0"/>
        </w:rPr>
      </w:pPr>
      <w:r>
        <w:rPr>
          <w:rFonts w:hint="eastAsia" w:ascii="黑体" w:eastAsia="黑体" w:cs="黑体"/>
          <w:b w:val="0"/>
          <w:bCs w:val="0"/>
        </w:rPr>
        <w:t>五、一般公共预算财政拨款“三公”</w:t>
      </w:r>
      <w:r>
        <w:rPr>
          <w:rFonts w:ascii="黑体" w:eastAsia="黑体" w:cs="黑体"/>
          <w:b w:val="0"/>
          <w:bCs w:val="0"/>
        </w:rPr>
        <w:t xml:space="preserve"> </w:t>
      </w:r>
      <w:r>
        <w:rPr>
          <w:rFonts w:hint="eastAsia" w:ascii="黑体" w:eastAsia="黑体" w:cs="黑体"/>
          <w:b w:val="0"/>
          <w:bCs w:val="0"/>
        </w:rPr>
        <w:t>经费支出决算情况说明</w:t>
      </w:r>
    </w:p>
    <w:p w14:paraId="3855A973">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“三公”经费支出共计1.09万元，</w:t>
      </w:r>
      <w:r>
        <w:rPr>
          <w:rFonts w:hint="eastAsia" w:ascii="仿宋_GB2312" w:eastAsia="仿宋_GB2312" w:cs="DengXian-Regular"/>
          <w:b/>
          <w:bCs/>
          <w:sz w:val="32"/>
          <w:szCs w:val="32"/>
        </w:rPr>
        <w:t>较年初预算减少0.41万元，降低27%，</w:t>
      </w:r>
      <w:r>
        <w:rPr>
          <w:rFonts w:hint="eastAsia" w:ascii="仿宋_GB2312" w:eastAsia="仿宋_GB2312" w:cs="DengXian-Regular"/>
          <w:sz w:val="32"/>
          <w:szCs w:val="32"/>
        </w:rPr>
        <w:t>主要是认真贯彻落实中央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精神和厉行节约要求，从严控制“三公”经费开支，全年实际支出比预算有所节约。具体情况如下：</w:t>
      </w:r>
    </w:p>
    <w:p w14:paraId="3414C92E">
      <w:pPr>
        <w:adjustRightInd w:val="0"/>
        <w:snapToGrid w:val="0"/>
        <w:spacing w:after="0" w:line="580" w:lineRule="exact"/>
        <w:ind w:firstLine="643" w:firstLineChars="200"/>
        <w:rPr>
          <w:rFonts w:ascii="仿宋_GB2312" w:eastAsia="仿宋_GB2312"/>
          <w:sz w:val="32"/>
          <w:szCs w:val="32"/>
        </w:rPr>
      </w:pPr>
      <w:r>
        <w:rPr>
          <w:rFonts w:hint="eastAsia" w:ascii="楷体_GB2312" w:eastAsia="楷体_GB2312" w:cs="楷体_GB2312"/>
          <w:b/>
          <w:bCs/>
          <w:sz w:val="32"/>
          <w:szCs w:val="32"/>
        </w:rPr>
        <w:t>（</w:t>
      </w:r>
      <w:r>
        <mc:AlternateContent>
          <mc:Choice Requires="wpg">
            <w:drawing>
              <wp:anchor distT="0" distB="0" distL="114300" distR="114300" simplePos="0" relativeHeight="251676672"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32" name="组合 33"/>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30" name="矩形 13"/>
                        <wps:cNvSpPr/>
                        <wps:spPr>
                          <a:xfrm>
                            <a:off x="4551" y="52615"/>
                            <a:ext cx="8546" cy="1175"/>
                          </a:xfrm>
                          <a:prstGeom prst="rect">
                            <a:avLst/>
                          </a:prstGeom>
                          <a:solidFill>
                            <a:srgbClr val="D9D9D9"/>
                          </a:solidFill>
                          <a:ln w="25400">
                            <a:noFill/>
                          </a:ln>
                        </wps:spPr>
                        <wps:bodyPr anchor="ctr" upright="1"/>
                      </wps:wsp>
                      <wps:wsp>
                        <wps:cNvPr id="31" name="矩形 14"/>
                        <wps:cNvSpPr/>
                        <wps:spPr>
                          <a:xfrm>
                            <a:off x="4577" y="52890"/>
                            <a:ext cx="8324" cy="1123"/>
                          </a:xfrm>
                          <a:prstGeom prst="rect">
                            <a:avLst/>
                          </a:prstGeom>
                          <a:solidFill>
                            <a:srgbClr val="AD002D"/>
                          </a:solidFill>
                          <a:ln w="25400" cap="flat" cmpd="sng">
                            <a:solidFill>
                              <a:srgbClr val="B0761F"/>
                            </a:solidFill>
                            <a:prstDash val="solid"/>
                            <a:round/>
                            <a:headEnd type="none" w="med" len="med"/>
                            <a:tailEnd type="none" w="med" len="med"/>
                          </a:ln>
                        </wps:spPr>
                        <wps:txbx>
                          <w:txbxContent>
                            <w:p w14:paraId="416E3FB9">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451A7535">
                              <w:pPr>
                                <w:jc w:val="center"/>
                              </w:pPr>
                            </w:p>
                          </w:txbxContent>
                        </wps:txbx>
                        <wps:bodyPr anchor="ctr" upright="1"/>
                      </wps:wsp>
                    </wpg:wgp>
                  </a:graphicData>
                </a:graphic>
              </wp:anchor>
            </w:drawing>
          </mc:Choice>
          <mc:Fallback>
            <w:pict>
              <v:group id="组合 33" o:spid="_x0000_s1026" o:spt="203" style="position:absolute;left:0pt;margin-left:-0.55pt;margin-top:29.3pt;height:43.95pt;width:301.85pt;mso-position-horizontal-relative:page;mso-position-vertical-relative:page;z-index:251676672;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">
                <o:lock v:ext="edit" aspectratio="f"/>
                <v:rect id="矩形 13" o:spid="_x0000_s1026" o:spt="1" style="position:absolute;left:4551;top:52615;height:1175;width:8546;v-text-anchor:middle;" fillcolor="#D9D9D9" filled="t" stroked="f" coordsize="21600,21600" o:gfxdata="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m+ehL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QBwJ5rsAAADb&#10;AAAADwAAAGRycy9kb3ducmV2LnhtbEWPS4sCMRCE7wv+h9CCtzUZBXcYjYKCyx59e20m7czgpDMk&#10;8fXvzcLCHouq+oqaLZ62FXfyoXGsIRsqEMSlMw1XGg779WcOIkRkg61j0vCiAIt572OGhXEP3tJ9&#10;FyuRIBwK1FDH2BVShrImi2HoOuLkXZy3GJP0lTQeHwluWzlSaiItNpwWauxoVVN53d2shslmuXLl&#10;Pv8++XOjNu62fuVfR60H/UxNQUR6xv/wX/vHaBhn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BwJ5rsAAADb&#10;AAAADwAAAAAAAAABACAAAAAiAAAAZHJzL2Rvd25yZXYueG1sUEsBAhQAFAAAAAgAh07iQDMvBZ47&#10;AAAAOQAAABAAAAAAAAAAAQAgAAAACgEAAGRycy9zaGFwZXhtbC54bWxQSwUGAAAAAAYABgBbAQAA&#10;tAMAAAAA&#10;">
                  <v:fill on="t" focussize="0,0"/>
                  <v:stroke weight="2pt" color="#B0761F" joinstyle="round"/>
                  <v:imagedata o:title=""/>
                  <o:lock v:ext="edit" aspectratio="f"/>
                  <v:textbox>
                    <w:txbxContent>
                      <w:p w14:paraId="416E3FB9">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451A7535">
                        <w:pPr>
                          <w:jc w:val="center"/>
                        </w:pPr>
                      </w:p>
                    </w:txbxContent>
                  </v:textbox>
                </v:rect>
                <w10:anchorlock/>
              </v:group>
            </w:pict>
          </mc:Fallback>
        </mc:AlternateContent>
      </w:r>
      <w:r>
        <w:rPr>
          <w:rFonts w:hint="eastAsia" w:ascii="楷体_GB2312" w:eastAsia="楷体_GB2312" w:cs="楷体_GB2312"/>
          <w:b/>
          <w:bCs/>
          <w:sz w:val="32"/>
          <w:szCs w:val="32"/>
        </w:rPr>
        <w:t>一）因公出国（境）费支出</w:t>
      </w:r>
      <w:r>
        <w:rPr>
          <w:rFonts w:ascii="楷体_GB2312" w:eastAsia="楷体_GB2312" w:cs="楷体_GB2312"/>
          <w:b/>
          <w:bCs/>
          <w:sz w:val="32"/>
          <w:szCs w:val="32"/>
        </w:rPr>
        <w:t>0</w:t>
      </w:r>
      <w:r>
        <w:rPr>
          <w:rFonts w:hint="eastAsia" w:ascii="楷体_GB2312" w:eastAsia="楷体_GB2312" w:cs="楷体_GB2312"/>
          <w:b/>
          <w:bCs/>
          <w:sz w:val="32"/>
          <w:szCs w:val="32"/>
        </w:rPr>
        <w:t>万元。</w:t>
      </w:r>
      <w:r>
        <w:rPr>
          <w:rFonts w:hint="eastAsia" w:ascii="仿宋_GB2312" w:eastAsia="仿宋_GB2312" w:cs="仿宋_GB2312"/>
          <w:sz w:val="32"/>
          <w:szCs w:val="32"/>
        </w:rPr>
        <w:t>本部门</w:t>
      </w:r>
      <w:r>
        <w:rPr>
          <w:rFonts w:ascii="仿宋_GB2312" w:eastAsia="仿宋_GB2312" w:cs="仿宋_GB2312"/>
          <w:sz w:val="32"/>
          <w:szCs w:val="32"/>
        </w:rPr>
        <w:t>2018</w:t>
      </w:r>
      <w:r>
        <w:rPr>
          <w:rFonts w:hint="eastAsia" w:ascii="仿宋_GB2312" w:eastAsia="仿宋_GB2312" w:cs="仿宋_GB2312"/>
          <w:sz w:val="32"/>
          <w:szCs w:val="32"/>
        </w:rPr>
        <w:t>年度因公出国（境）团组</w:t>
      </w:r>
      <w:r>
        <w:rPr>
          <w:rFonts w:ascii="仿宋_GB2312" w:eastAsia="仿宋_GB2312" w:cs="仿宋_GB2312"/>
          <w:sz w:val="32"/>
          <w:szCs w:val="32"/>
        </w:rPr>
        <w:t>0</w:t>
      </w:r>
      <w:r>
        <w:rPr>
          <w:rFonts w:hint="eastAsia" w:ascii="仿宋_GB2312" w:eastAsia="仿宋_GB2312" w:cs="仿宋_GB2312"/>
          <w:sz w:val="32"/>
          <w:szCs w:val="32"/>
        </w:rPr>
        <w:t>个、共</w:t>
      </w:r>
      <w:r>
        <w:rPr>
          <w:rFonts w:ascii="仿宋_GB2312" w:eastAsia="仿宋_GB2312" w:cs="仿宋_GB2312"/>
          <w:sz w:val="32"/>
          <w:szCs w:val="32"/>
        </w:rPr>
        <w:t>0</w:t>
      </w:r>
      <w:r>
        <w:rPr>
          <w:rFonts w:hint="eastAsia" w:ascii="仿宋_GB2312" w:eastAsia="仿宋_GB2312" w:cs="仿宋_GB2312"/>
          <w:sz w:val="32"/>
          <w:szCs w:val="32"/>
        </w:rPr>
        <w:t>人</w:t>
      </w:r>
      <w:r>
        <w:rPr>
          <w:rFonts w:ascii="仿宋_GB2312" w:eastAsia="仿宋_GB2312" w:cs="仿宋_GB2312"/>
          <w:sz w:val="32"/>
          <w:szCs w:val="32"/>
        </w:rPr>
        <w:t>/</w:t>
      </w:r>
      <w:r>
        <w:rPr>
          <w:rFonts w:hint="eastAsia" w:ascii="仿宋_GB2312" w:eastAsia="仿宋_GB2312" w:cs="仿宋_GB2312"/>
          <w:sz w:val="32"/>
          <w:szCs w:val="32"/>
        </w:rPr>
        <w:t>参加其他单位组织的因公出国（境）团组</w:t>
      </w:r>
      <w:r>
        <w:rPr>
          <w:rFonts w:ascii="仿宋_GB2312" w:eastAsia="仿宋_GB2312" w:cs="仿宋_GB2312"/>
          <w:sz w:val="32"/>
          <w:szCs w:val="32"/>
        </w:rPr>
        <w:t>0</w:t>
      </w:r>
      <w:r>
        <w:rPr>
          <w:rFonts w:hint="eastAsia" w:ascii="仿宋_GB2312" w:eastAsia="仿宋_GB2312" w:cs="仿宋_GB2312"/>
          <w:sz w:val="32"/>
          <w:szCs w:val="32"/>
        </w:rPr>
        <w:t>个、共</w:t>
      </w:r>
      <w:r>
        <w:rPr>
          <w:rFonts w:ascii="仿宋_GB2312" w:eastAsia="仿宋_GB2312" w:cs="仿宋_GB2312"/>
          <w:sz w:val="32"/>
          <w:szCs w:val="32"/>
        </w:rPr>
        <w:t>0</w:t>
      </w:r>
      <w:r>
        <w:rPr>
          <w:rFonts w:hint="eastAsia" w:ascii="仿宋_GB2312" w:eastAsia="仿宋_GB2312" w:cs="仿宋_GB2312"/>
          <w:sz w:val="32"/>
          <w:szCs w:val="32"/>
        </w:rPr>
        <w:t>人</w:t>
      </w:r>
      <w:r>
        <w:rPr>
          <w:rFonts w:ascii="仿宋_GB2312" w:eastAsia="仿宋_GB2312" w:cs="仿宋_GB2312"/>
          <w:sz w:val="32"/>
          <w:szCs w:val="32"/>
        </w:rPr>
        <w:t>/</w:t>
      </w:r>
      <w:r>
        <w:rPr>
          <w:rFonts w:hint="eastAsia" w:ascii="仿宋_GB2312" w:eastAsia="仿宋_GB2312" w:cs="仿宋_GB2312"/>
          <w:sz w:val="32"/>
          <w:szCs w:val="32"/>
        </w:rPr>
        <w:t>无本单位组织的出国（境）团组。因公出国（境）费支出较年初预算增加（减少）</w:t>
      </w:r>
      <w:r>
        <w:rPr>
          <w:rFonts w:ascii="仿宋_GB2312" w:eastAsia="仿宋_GB2312" w:cs="仿宋_GB2312"/>
          <w:sz w:val="32"/>
          <w:szCs w:val="32"/>
        </w:rPr>
        <w:t>0</w:t>
      </w:r>
      <w:r>
        <w:rPr>
          <w:rFonts w:hint="eastAsia" w:ascii="仿宋_GB2312" w:eastAsia="仿宋_GB2312" w:cs="仿宋_GB2312"/>
          <w:sz w:val="32"/>
          <w:szCs w:val="32"/>
        </w:rPr>
        <w:t>万元，增长（降低）</w:t>
      </w:r>
      <w:r>
        <w:rPr>
          <w:rFonts w:ascii="仿宋_GB2312" w:eastAsia="仿宋_GB2312" w:cs="仿宋_GB2312"/>
          <w:sz w:val="32"/>
          <w:szCs w:val="32"/>
        </w:rPr>
        <w:t>0%,</w:t>
      </w:r>
      <w:r>
        <w:rPr>
          <w:rFonts w:hint="eastAsia" w:ascii="仿宋_GB2312" w:eastAsia="仿宋_GB2312" w:cs="仿宋_GB2312"/>
          <w:sz w:val="32"/>
          <w:szCs w:val="32"/>
        </w:rPr>
        <w:t>主要是因为本部门未发生因公出国（境）费支出。</w:t>
      </w:r>
    </w:p>
    <w:p w14:paraId="4ECDB838">
      <w:pPr>
        <w:adjustRightInd w:val="0"/>
        <w:snapToGrid w:val="0"/>
        <w:spacing w:after="0" w:line="580" w:lineRule="exact"/>
        <w:ind w:firstLine="643" w:firstLineChars="200"/>
        <w:rPr>
          <w:rFonts w:ascii="仿宋_GB2312" w:eastAsia="仿宋_GB2312"/>
          <w:b/>
          <w:bCs/>
          <w:sz w:val="32"/>
          <w:szCs w:val="32"/>
        </w:rPr>
      </w:pPr>
      <w:r>
        <w:rPr>
          <w:rFonts w:hint="eastAsia" w:ascii="楷体_GB2312" w:eastAsia="楷体_GB2312" w:cs="楷体_GB2312"/>
          <w:b/>
          <w:bCs/>
          <w:sz w:val="32"/>
          <w:szCs w:val="32"/>
        </w:rPr>
        <w:t>（二）公务用车购置及运行维护费支出</w:t>
      </w:r>
      <w:r>
        <w:rPr>
          <w:rFonts w:ascii="楷体_GB2312" w:eastAsia="楷体_GB2312" w:cs="楷体_GB2312"/>
          <w:b/>
          <w:bCs/>
          <w:sz w:val="32"/>
          <w:szCs w:val="32"/>
        </w:rPr>
        <w:t>1.</w:t>
      </w:r>
      <w:r>
        <w:rPr>
          <w:rFonts w:hint="eastAsia" w:ascii="楷体_GB2312" w:eastAsia="楷体_GB2312" w:cs="楷体_GB2312"/>
          <w:b/>
          <w:bCs/>
          <w:sz w:val="32"/>
          <w:szCs w:val="32"/>
          <w:lang w:val="en-US" w:eastAsia="zh-CN"/>
        </w:rPr>
        <w:t>09</w:t>
      </w:r>
      <w:r>
        <w:rPr>
          <w:rFonts w:hint="eastAsia" w:ascii="楷体_GB2312" w:eastAsia="楷体_GB2312" w:cs="楷体_GB2312"/>
          <w:b/>
          <w:bCs/>
          <w:sz w:val="32"/>
          <w:szCs w:val="32"/>
        </w:rPr>
        <w:t>万元。</w:t>
      </w:r>
      <w:r>
        <w:rPr>
          <w:rFonts w:hint="eastAsia" w:ascii="仿宋_GB2312" w:eastAsia="仿宋_GB2312" w:cs="DengXian-Regular"/>
          <w:sz w:val="32"/>
          <w:szCs w:val="32"/>
        </w:rPr>
        <w:t>本部门2018年度公务用车购置及运行维护费较年初预算减少0.41万元，降低27%,主要是严格执行公务用车管理规定，从严控制公车经费。</w:t>
      </w:r>
      <w:r>
        <w:rPr>
          <w:rFonts w:hint="eastAsia" w:ascii="仿宋_GB2312" w:eastAsia="仿宋_GB2312" w:cs="仿宋_GB2312"/>
          <w:b/>
          <w:bCs/>
          <w:sz w:val="32"/>
          <w:szCs w:val="32"/>
        </w:rPr>
        <w:t>其中：</w:t>
      </w:r>
    </w:p>
    <w:p w14:paraId="090BA559">
      <w:pPr>
        <w:adjustRightInd w:val="0"/>
        <w:snapToGrid w:val="0"/>
        <w:spacing w:after="0" w:line="580" w:lineRule="exact"/>
        <w:ind w:firstLine="643" w:firstLineChars="200"/>
        <w:rPr>
          <w:rFonts w:ascii="仿宋_GB2312" w:eastAsia="仿宋_GB2312"/>
          <w:sz w:val="32"/>
          <w:szCs w:val="32"/>
        </w:rPr>
      </w:pPr>
      <w:r>
        <w:rPr>
          <w:rFonts w:hint="eastAsia" w:ascii="仿宋_GB2312" w:eastAsia="仿宋_GB2312" w:cs="仿宋_GB2312"/>
          <w:b/>
          <w:bCs/>
          <w:sz w:val="32"/>
          <w:szCs w:val="32"/>
        </w:rPr>
        <w:t>公务用车购置费：</w:t>
      </w:r>
      <w:r>
        <w:rPr>
          <w:rFonts w:hint="eastAsia" w:ascii="仿宋_GB2312" w:eastAsia="仿宋_GB2312" w:cs="仿宋_GB2312"/>
          <w:sz w:val="32"/>
          <w:szCs w:val="32"/>
        </w:rPr>
        <w:t>本部门</w:t>
      </w:r>
      <w:r>
        <w:rPr>
          <w:rFonts w:ascii="仿宋_GB2312" w:eastAsia="仿宋_GB2312" w:cs="仿宋_GB2312"/>
          <w:sz w:val="32"/>
          <w:szCs w:val="32"/>
        </w:rPr>
        <w:t>2018</w:t>
      </w:r>
      <w:r>
        <w:rPr>
          <w:rFonts w:hint="eastAsia" w:ascii="仿宋_GB2312" w:eastAsia="仿宋_GB2312" w:cs="仿宋_GB2312"/>
          <w:sz w:val="32"/>
          <w:szCs w:val="32"/>
        </w:rPr>
        <w:t>年度公务用车购置量</w:t>
      </w:r>
      <w:r>
        <w:rPr>
          <w:rFonts w:ascii="仿宋_GB2312" w:eastAsia="仿宋_GB2312" w:cs="仿宋_GB2312"/>
          <w:sz w:val="32"/>
          <w:szCs w:val="32"/>
        </w:rPr>
        <w:t>0</w:t>
      </w:r>
      <w:r>
        <w:rPr>
          <w:rFonts w:hint="eastAsia" w:ascii="仿宋_GB2312" w:eastAsia="仿宋_GB2312" w:cs="仿宋_GB2312"/>
          <w:sz w:val="32"/>
          <w:szCs w:val="32"/>
        </w:rPr>
        <w:t>辆，发生“公务用车购置”经费支出</w:t>
      </w:r>
      <w:r>
        <w:rPr>
          <w:rFonts w:ascii="仿宋_GB2312" w:eastAsia="仿宋_GB2312" w:cs="仿宋_GB2312"/>
          <w:sz w:val="32"/>
          <w:szCs w:val="32"/>
        </w:rPr>
        <w:t>0</w:t>
      </w:r>
      <w:r>
        <w:rPr>
          <w:rFonts w:hint="eastAsia" w:ascii="仿宋_GB2312" w:eastAsia="仿宋_GB2312" w:cs="仿宋_GB2312"/>
          <w:sz w:val="32"/>
          <w:szCs w:val="32"/>
        </w:rPr>
        <w:t>万元。公务用车购置费支出较年初预算增加（减少）</w:t>
      </w:r>
      <w:r>
        <w:rPr>
          <w:rFonts w:ascii="仿宋_GB2312" w:eastAsia="仿宋_GB2312" w:cs="仿宋_GB2312"/>
          <w:sz w:val="32"/>
          <w:szCs w:val="32"/>
        </w:rPr>
        <w:t>0</w:t>
      </w:r>
      <w:r>
        <w:rPr>
          <w:rFonts w:hint="eastAsia" w:ascii="仿宋_GB2312" w:eastAsia="仿宋_GB2312" w:cs="仿宋_GB2312"/>
          <w:sz w:val="32"/>
          <w:szCs w:val="32"/>
        </w:rPr>
        <w:t>万元，增长（降低）</w:t>
      </w:r>
      <w:r>
        <w:rPr>
          <w:rFonts w:ascii="仿宋_GB2312" w:eastAsia="仿宋_GB2312" w:cs="仿宋_GB2312"/>
          <w:sz w:val="32"/>
          <w:szCs w:val="32"/>
        </w:rPr>
        <w:t>0%,</w:t>
      </w:r>
      <w:r>
        <w:rPr>
          <w:rFonts w:hint="eastAsia" w:ascii="仿宋_GB2312" w:eastAsia="仿宋_GB2312" w:cs="仿宋_GB2312"/>
          <w:sz w:val="32"/>
          <w:szCs w:val="32"/>
        </w:rPr>
        <w:t>主要是因为本部门未发生公务用车购置费。</w:t>
      </w:r>
    </w:p>
    <w:p w14:paraId="43277E37">
      <w:pPr>
        <w:adjustRightInd w:val="0"/>
        <w:snapToGrid w:val="0"/>
        <w:spacing w:after="0" w:line="580" w:lineRule="exact"/>
        <w:ind w:firstLine="643" w:firstLineChars="200"/>
        <w:rPr>
          <w:rFonts w:ascii="仿宋_GB2312" w:eastAsia="仿宋_GB2312"/>
          <w:sz w:val="32"/>
          <w:szCs w:val="32"/>
        </w:rPr>
      </w:pPr>
      <w:r>
        <w:rPr>
          <w:rFonts w:hint="eastAsia" w:ascii="仿宋_GB2312" w:eastAsia="仿宋_GB2312" w:cs="仿宋_GB2312"/>
          <w:b/>
          <w:bCs/>
          <w:sz w:val="32"/>
          <w:szCs w:val="32"/>
        </w:rPr>
        <w:t>公务用车运行维护费：</w:t>
      </w:r>
      <w:r>
        <w:rPr>
          <w:rFonts w:hint="eastAsia" w:ascii="仿宋_GB2312" w:eastAsia="仿宋_GB2312" w:cs="仿宋_GB2312"/>
          <w:sz w:val="32"/>
          <w:szCs w:val="32"/>
        </w:rPr>
        <w:t>本部门</w:t>
      </w:r>
      <w:r>
        <w:rPr>
          <w:rFonts w:ascii="仿宋_GB2312" w:eastAsia="仿宋_GB2312" w:cs="仿宋_GB2312"/>
          <w:sz w:val="32"/>
          <w:szCs w:val="32"/>
        </w:rPr>
        <w:t>2018</w:t>
      </w:r>
      <w:r>
        <w:rPr>
          <w:rFonts w:hint="eastAsia" w:ascii="仿宋_GB2312" w:eastAsia="仿宋_GB2312" w:cs="仿宋_GB2312"/>
          <w:sz w:val="32"/>
          <w:szCs w:val="32"/>
        </w:rPr>
        <w:t>年度单位公务用车保有量</w:t>
      </w:r>
      <w:r>
        <w:rPr>
          <w:rFonts w:hint="eastAsia" w:ascii="仿宋_GB2312" w:eastAsia="仿宋_GB2312" w:cs="仿宋_GB2312"/>
          <w:sz w:val="32"/>
          <w:szCs w:val="32"/>
          <w:lang w:val="en-US" w:eastAsia="zh-CN"/>
        </w:rPr>
        <w:t>1</w:t>
      </w:r>
      <w:r>
        <w:rPr>
          <w:rFonts w:hint="eastAsia" w:ascii="仿宋_GB2312" w:eastAsia="仿宋_GB2312" w:cs="仿宋_GB2312"/>
          <w:sz w:val="32"/>
          <w:szCs w:val="32"/>
        </w:rPr>
        <w:t>辆。公车运行维护费支出较年初预算减少</w:t>
      </w:r>
      <w:r>
        <w:rPr>
          <w:rFonts w:hint="eastAsia" w:ascii="仿宋_GB2312" w:eastAsia="仿宋_GB2312" w:cs="仿宋_GB2312"/>
          <w:sz w:val="32"/>
          <w:szCs w:val="32"/>
          <w:lang w:val="en-US" w:eastAsia="zh-CN"/>
        </w:rPr>
        <w:t>0.41</w:t>
      </w:r>
      <w:r>
        <w:rPr>
          <w:rFonts w:hint="eastAsia" w:ascii="仿宋_GB2312" w:eastAsia="仿宋_GB2312" w:cs="仿宋_GB2312"/>
          <w:sz w:val="32"/>
          <w:szCs w:val="32"/>
        </w:rPr>
        <w:t>万元，降低</w:t>
      </w:r>
      <w:r>
        <w:rPr>
          <w:rFonts w:hint="eastAsia" w:ascii="仿宋_GB2312" w:eastAsia="仿宋_GB2312" w:cs="仿宋_GB2312"/>
          <w:sz w:val="32"/>
          <w:szCs w:val="32"/>
          <w:lang w:val="en-US" w:eastAsia="zh-CN"/>
        </w:rPr>
        <w:t>27</w:t>
      </w:r>
      <w:r>
        <w:rPr>
          <w:rFonts w:ascii="仿宋_GB2312" w:eastAsia="仿宋_GB2312" w:cs="仿宋_GB2312"/>
          <w:sz w:val="32"/>
          <w:szCs w:val="32"/>
        </w:rPr>
        <w:t>%,</w:t>
      </w:r>
      <w:r>
        <w:rPr>
          <w:rFonts w:hint="eastAsia" w:ascii="仿宋_GB2312" w:eastAsia="仿宋_GB2312" w:cs="仿宋_GB2312"/>
          <w:sz w:val="32"/>
          <w:szCs w:val="32"/>
          <w:lang w:eastAsia="zh-CN"/>
        </w:rPr>
        <w:t>主要是</w:t>
      </w:r>
      <w:r>
        <w:rPr>
          <w:rFonts w:hint="eastAsia" w:ascii="仿宋_GB2312" w:eastAsia="仿宋_GB2312" w:cs="仿宋_GB2312"/>
          <w:sz w:val="32"/>
          <w:szCs w:val="32"/>
        </w:rPr>
        <w:t>严格公务用车管理制度，加强公务用车管理。</w:t>
      </w:r>
    </w:p>
    <w:p w14:paraId="3EDBDDD1">
      <w:pPr>
        <w:adjustRightInd w:val="0"/>
        <w:snapToGrid w:val="0"/>
        <w:spacing w:after="0" w:line="580" w:lineRule="exact"/>
        <w:ind w:firstLine="643" w:firstLineChars="200"/>
        <w:rPr>
          <w:rFonts w:ascii="仿宋_GB2312" w:eastAsia="仿宋_GB2312"/>
          <w:sz w:val="32"/>
          <w:szCs w:val="32"/>
        </w:rPr>
      </w:pPr>
      <w:r>
        <w:rPr>
          <w:rFonts w:hint="eastAsia" w:ascii="楷体_GB2312" w:eastAsia="楷体_GB2312" w:cs="楷体_GB2312"/>
          <w:b/>
          <w:bCs/>
          <w:sz w:val="32"/>
          <w:szCs w:val="32"/>
        </w:rPr>
        <w:t>（三）公务接待费支出</w:t>
      </w:r>
      <w:r>
        <w:rPr>
          <w:rFonts w:ascii="楷体_GB2312" w:eastAsia="楷体_GB2312" w:cs="楷体_GB2312"/>
          <w:b/>
          <w:bCs/>
          <w:sz w:val="32"/>
          <w:szCs w:val="32"/>
        </w:rPr>
        <w:t>0</w:t>
      </w:r>
      <w:r>
        <w:rPr>
          <w:rFonts w:hint="eastAsia" w:ascii="楷体_GB2312" w:eastAsia="楷体_GB2312" w:cs="楷体_GB2312"/>
          <w:b/>
          <w:bCs/>
          <w:sz w:val="32"/>
          <w:szCs w:val="32"/>
        </w:rPr>
        <w:t>万元。</w:t>
      </w:r>
      <w:r>
        <mc:AlternateContent>
          <mc:Choice Requires="wpg">
            <w:drawing>
              <wp:anchor distT="0" distB="0" distL="114300" distR="114300" simplePos="0" relativeHeight="251677696"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35" name="组合 36"/>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33" name="矩形 13"/>
                        <wps:cNvSpPr/>
                        <wps:spPr>
                          <a:xfrm>
                            <a:off x="4551" y="52615"/>
                            <a:ext cx="8546" cy="1175"/>
                          </a:xfrm>
                          <a:prstGeom prst="rect">
                            <a:avLst/>
                          </a:prstGeom>
                          <a:solidFill>
                            <a:srgbClr val="D9D9D9"/>
                          </a:solidFill>
                          <a:ln w="25400">
                            <a:noFill/>
                          </a:ln>
                        </wps:spPr>
                        <wps:bodyPr anchor="ctr" upright="1"/>
                      </wps:wsp>
                      <wps:wsp>
                        <wps:cNvPr id="34" name="矩形 14"/>
                        <wps:cNvSpPr/>
                        <wps:spPr>
                          <a:xfrm>
                            <a:off x="4577" y="52890"/>
                            <a:ext cx="8324" cy="1123"/>
                          </a:xfrm>
                          <a:prstGeom prst="rect">
                            <a:avLst/>
                          </a:prstGeom>
                          <a:solidFill>
                            <a:srgbClr val="AD002D"/>
                          </a:solidFill>
                          <a:ln w="25400" cap="flat" cmpd="sng">
                            <a:solidFill>
                              <a:srgbClr val="B0761F"/>
                            </a:solidFill>
                            <a:prstDash val="solid"/>
                            <a:round/>
                            <a:headEnd type="none" w="med" len="med"/>
                            <a:tailEnd type="none" w="med" len="med"/>
                          </a:ln>
                        </wps:spPr>
                        <wps:txbx>
                          <w:txbxContent>
                            <w:p w14:paraId="4896738D">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0257B694">
                              <w:pPr>
                                <w:jc w:val="center"/>
                              </w:pPr>
                            </w:p>
                          </w:txbxContent>
                        </wps:txbx>
                        <wps:bodyPr anchor="ctr" upright="1"/>
                      </wps:wsp>
                    </wpg:wgp>
                  </a:graphicData>
                </a:graphic>
              </wp:anchor>
            </w:drawing>
          </mc:Choice>
          <mc:Fallback>
            <w:pict>
              <v:group id="组合 36" o:spid="_x0000_s1026" o:spt="203" style="position:absolute;left:0pt;margin-left:-0.55pt;margin-top:29.3pt;height:43.95pt;width:301.85pt;mso-position-horizontal-relative:page;mso-position-vertical-relative:page;z-index:251677696;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">
                <o:lock v:ext="edit" aspectratio="f"/>
                <v:rect id="矩形 13" o:spid="_x0000_s1026" o:spt="1" style="position:absolute;left:4551;top:52615;height:1175;width:8546;v-text-anchor:middle;" fillcolor="#D9D9D9" filled="t" stroked="f" coordsize="21600,21600" o:gfxdata="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WK3Y8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UGuqfrsAAADb&#10;AAAADwAAAGRycy9kb3ducmV2LnhtbEWPS4sCMRCE78L+h9ALe9PEddFhNAorKHv07bWZtDODk86Q&#10;xNe/3wiCx6KqvqIms7ttxJV8qB1r6PcUCOLCmZpLDbvtopuBCBHZYOOYNDwowGz60ZlgbtyN13Td&#10;xFIkCIccNVQxtrmUoajIYui5ljh5J+ctxiR9KY3HW4LbRn4rNZQWa04LFbY0r6g4by5Ww3D1O3fF&#10;Nlse/LFWK3dZPLLRXuuvz74ag4h0j+/wq/1nNAx+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GuqfrsAAADb&#10;AAAADwAAAAAAAAABACAAAAAiAAAAZHJzL2Rvd25yZXYueG1sUEsBAhQAFAAAAAgAh07iQDMvBZ47&#10;AAAAOQAAABAAAAAAAAAAAQAgAAAACgEAAGRycy9zaGFwZXhtbC54bWxQSwUGAAAAAAYABgBbAQAA&#10;tAMAAAAA&#10;">
                  <v:fill on="t" focussize="0,0"/>
                  <v:stroke weight="2pt" color="#B0761F" joinstyle="round"/>
                  <v:imagedata o:title=""/>
                  <o:lock v:ext="edit" aspectratio="f"/>
                  <v:textbox>
                    <w:txbxContent>
                      <w:p w14:paraId="4896738D">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0257B694">
                        <w:pPr>
                          <w:jc w:val="center"/>
                        </w:pPr>
                      </w:p>
                    </w:txbxContent>
                  </v:textbox>
                </v:rect>
                <w10:anchorlock/>
              </v:group>
            </w:pict>
          </mc:Fallback>
        </mc:AlternateContent>
      </w:r>
      <w:r>
        <w:rPr>
          <w:rFonts w:hint="eastAsia" w:ascii="仿宋_GB2312" w:eastAsia="仿宋_GB2312" w:cs="仿宋_GB2312"/>
          <w:sz w:val="32"/>
          <w:szCs w:val="32"/>
        </w:rPr>
        <w:t>本部门</w:t>
      </w:r>
      <w:r>
        <w:rPr>
          <w:rFonts w:ascii="仿宋_GB2312" w:eastAsia="仿宋_GB2312" w:cs="仿宋_GB2312"/>
          <w:sz w:val="32"/>
          <w:szCs w:val="32"/>
        </w:rPr>
        <w:t>2018</w:t>
      </w:r>
      <w:r>
        <w:rPr>
          <w:rFonts w:hint="eastAsia" w:ascii="仿宋_GB2312" w:eastAsia="仿宋_GB2312" w:cs="仿宋_GB2312"/>
          <w:sz w:val="32"/>
          <w:szCs w:val="32"/>
        </w:rPr>
        <w:t>年度公务接待共</w:t>
      </w:r>
      <w:r>
        <w:rPr>
          <w:rFonts w:ascii="仿宋_GB2312" w:eastAsia="仿宋_GB2312" w:cs="仿宋_GB2312"/>
          <w:sz w:val="32"/>
          <w:szCs w:val="32"/>
        </w:rPr>
        <w:t>0</w:t>
      </w:r>
      <w:r>
        <w:rPr>
          <w:rFonts w:hint="eastAsia" w:ascii="仿宋_GB2312" w:eastAsia="仿宋_GB2312" w:cs="仿宋_GB2312"/>
          <w:sz w:val="32"/>
          <w:szCs w:val="32"/>
        </w:rPr>
        <w:t>批次、</w:t>
      </w:r>
      <w:r>
        <w:rPr>
          <w:rFonts w:ascii="仿宋_GB2312" w:eastAsia="仿宋_GB2312" w:cs="仿宋_GB2312"/>
          <w:sz w:val="32"/>
          <w:szCs w:val="32"/>
        </w:rPr>
        <w:t>0</w:t>
      </w:r>
      <w:r>
        <w:rPr>
          <w:rFonts w:hint="eastAsia" w:ascii="仿宋_GB2312" w:eastAsia="仿宋_GB2312" w:cs="仿宋_GB2312"/>
          <w:sz w:val="32"/>
          <w:szCs w:val="32"/>
        </w:rPr>
        <w:t>人次。公务接待费支出较年初预算</w:t>
      </w:r>
      <w:r>
        <w:rPr>
          <w:rFonts w:hint="eastAsia" w:ascii="仿宋_GB2312" w:eastAsia="仿宋_GB2312" w:cs="仿宋_GB2312"/>
          <w:sz w:val="32"/>
          <w:szCs w:val="32"/>
          <w:lang w:eastAsia="zh-CN"/>
        </w:rPr>
        <w:t>持平</w:t>
      </w:r>
      <w:r>
        <w:rPr>
          <w:rFonts w:hint="eastAsia" w:ascii="仿宋_GB2312" w:eastAsia="仿宋_GB2312" w:cs="仿宋_GB2312"/>
          <w:sz w:val="32"/>
          <w:szCs w:val="32"/>
        </w:rPr>
        <w:t>，降低</w:t>
      </w:r>
      <w:r>
        <w:rPr>
          <w:rFonts w:ascii="仿宋_GB2312" w:eastAsia="仿宋_GB2312" w:cs="仿宋_GB2312"/>
          <w:sz w:val="32"/>
          <w:szCs w:val="32"/>
        </w:rPr>
        <w:t>100%,</w:t>
      </w:r>
      <w:r>
        <w:rPr>
          <w:rFonts w:hint="eastAsia" w:ascii="仿宋_GB2312" w:eastAsia="仿宋_GB2312" w:cs="仿宋_GB2312"/>
          <w:sz w:val="32"/>
          <w:szCs w:val="32"/>
        </w:rPr>
        <w:t>主要是本部门未发生公务接待费支出。</w:t>
      </w:r>
    </w:p>
    <w:p w14:paraId="032D5AF9">
      <w:pPr>
        <w:pStyle w:val="3"/>
        <w:spacing w:before="0" w:after="0" w:line="500" w:lineRule="exact"/>
        <w:ind w:firstLine="643" w:firstLineChars="200"/>
        <w:rPr>
          <w:rFonts w:ascii="仿宋_GB2312" w:hAnsi="Times New Roman" w:eastAsia="仿宋_GB2312" w:cs="Times New Roman"/>
        </w:rPr>
      </w:pPr>
      <w:r>
        <w:rPr>
          <w:rFonts w:hint="eastAsia" w:ascii="黑体" w:eastAsia="黑体" w:cs="黑体"/>
        </w:rPr>
        <w:t>六、</w:t>
      </w:r>
      <w:r>
        <w:rPr>
          <w:rFonts w:hint="eastAsia" w:ascii="仿宋_GB2312" w:hAnsi="Times New Roman" w:eastAsia="仿宋_GB2312" w:cs="仿宋_GB2312"/>
        </w:rPr>
        <w:t>绩效预算情况说明</w:t>
      </w:r>
    </w:p>
    <w:p w14:paraId="1C2AB0EA">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（一）绩效管理工作开展情况。根据《关于开展2018年度财政专项资金部门绩效自评价工作的通知》（石财绩</w:t>
      </w:r>
      <w:r>
        <w:rPr>
          <w:rFonts w:hint="eastAsia" w:ascii="宋体" w:hAnsi="宋体" w:cs="宋体"/>
          <w:sz w:val="32"/>
          <w:szCs w:val="32"/>
        </w:rPr>
        <w:t>[2019]</w:t>
      </w:r>
      <w:r>
        <w:rPr>
          <w:rFonts w:hint="eastAsia" w:ascii="仿宋_GB2312" w:eastAsia="仿宋_GB2312" w:cs="DengXian-Regular"/>
          <w:sz w:val="32"/>
          <w:szCs w:val="32"/>
        </w:rPr>
        <w:t>1号），本单位认真开展了预算绩效管理改革开展情况自查，对部门全面规范绩效预算编制、严格预算执行管理、推进绩效评价工作、推进预决算信息公开等方面进行</w:t>
      </w:r>
      <w:bookmarkStart w:id="0" w:name="_GoBack"/>
      <w:bookmarkEnd w:id="0"/>
      <w:r>
        <w:rPr>
          <w:rFonts w:hint="eastAsia" w:ascii="仿宋_GB2312" w:eastAsia="仿宋_GB2312" w:cs="DengXian-Regular"/>
          <w:sz w:val="32"/>
          <w:szCs w:val="32"/>
        </w:rPr>
        <w:t>了自评，考核结果为优秀/良好/一般。</w:t>
      </w:r>
    </w:p>
    <w:p w14:paraId="2A28DD73">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（二）预算项目绩效评价开展情况根据预算绩效管理要求，本单位组织对2018年度一般公共预算项目支出全面开展绩效自评，涉及产粮大县等1个项目，涉及资金132.86万元。从评价情况看，评价结果为优秀。</w:t>
      </w:r>
    </w:p>
    <w:p w14:paraId="4DFC8E70">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14:paraId="1F579C5B">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本单位无民生项目和重点支出项目。</w:t>
      </w:r>
    </w:p>
    <w:p w14:paraId="28A48DFA">
      <w:pPr>
        <w:pStyle w:val="3"/>
        <w:spacing w:before="0" w:after="0" w:line="580" w:lineRule="exact"/>
        <w:ind w:firstLine="640" w:firstLineChars="200"/>
        <w:rPr>
          <w:rFonts w:ascii="黑体" w:eastAsia="黑体" w:cs="Times New Roman"/>
          <w:b w:val="0"/>
          <w:bCs w:val="0"/>
        </w:rPr>
      </w:pPr>
      <w:r>
        <w:rPr>
          <w:rFonts w:hint="eastAsia" w:ascii="黑体" w:eastAsia="黑体" w:cs="黑体"/>
          <w:b w:val="0"/>
          <w:bCs w:val="0"/>
        </w:rPr>
        <w:t>七、其他重要事项的说明</w:t>
      </w:r>
    </w:p>
    <w:p w14:paraId="596DAD32">
      <w:pPr>
        <w:pStyle w:val="4"/>
        <w:spacing w:before="0" w:after="0" w:line="580" w:lineRule="exact"/>
        <w:ind w:firstLine="643" w:firstLineChars="200"/>
        <w:rPr>
          <w:rFonts w:ascii="楷体_GB2312" w:eastAsia="楷体_GB2312"/>
        </w:rPr>
      </w:pPr>
      <w:r>
        <w:rPr>
          <w:rFonts w:hint="eastAsia" w:ascii="楷体_GB2312" w:eastAsia="楷体_GB2312" w:cs="楷体_GB2312"/>
        </w:rPr>
        <w:t>（一）机关运行经费情况</w:t>
      </w:r>
    </w:p>
    <w:p w14:paraId="1F467D47">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本部门2018年度机关运行经费支出32.42万元，比年初预算数增加8.36万元，增长34.7%。主要原因是水电费等较预算增加。</w:t>
      </w:r>
    </w:p>
    <w:p w14:paraId="3F6DA65A">
      <w:pPr>
        <w:pStyle w:val="4"/>
        <w:spacing w:before="0" w:after="0" w:line="580" w:lineRule="exact"/>
        <w:ind w:firstLine="643" w:firstLineChars="200"/>
        <w:rPr>
          <w:rFonts w:ascii="楷体_GB2312" w:eastAsia="楷体_GB2312"/>
        </w:rPr>
      </w:pPr>
      <w:r>
        <w:rPr>
          <w:rFonts w:hint="eastAsia" w:ascii="楷体_GB2312" w:eastAsia="楷体_GB2312" w:cs="楷体_GB2312"/>
        </w:rPr>
        <w:t>（二）政府采购情况</w:t>
      </w:r>
    </w:p>
    <w:p w14:paraId="56A95839">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本部门2018年度政府采购支出总额136.06万元，从采购类型来看，</w:t>
      </w:r>
      <w:r>
        <w:rPr>
          <w:rFonts w:ascii="仿宋_GB2312" w:hAnsi="仿宋_GB2312" w:eastAsia="仿宋_GB2312" w:cs="仿宋_GB2312"/>
          <w:color w:val="000000"/>
          <w:kern w:val="0"/>
          <w:sz w:val="32"/>
          <w:szCs w:val="32"/>
        </w:rPr>
        <w:t>政府采购工程支出</w:t>
      </w:r>
      <w:r>
        <w:rPr>
          <w:rFonts w:hint="eastAsia" w:ascii="仿宋_GB2312" w:hAnsi="仿宋_GB2312" w:eastAsia="仿宋_GB2312" w:cs="仿宋_GB2312"/>
          <w:color w:val="000000"/>
          <w:kern w:val="0"/>
          <w:sz w:val="32"/>
          <w:szCs w:val="32"/>
        </w:rPr>
        <w:t>136.06</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136.06</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100%，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136.06</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100</w:t>
      </w:r>
      <w:r>
        <w:rPr>
          <w:rFonts w:ascii="仿宋_GB2312" w:hAnsi="仿宋_GB2312" w:eastAsia="仿宋_GB2312" w:cs="仿宋_GB2312"/>
          <w:color w:val="000000"/>
          <w:kern w:val="0"/>
          <w:sz w:val="32"/>
          <w:szCs w:val="32"/>
        </w:rPr>
        <w:t>%。</w:t>
      </w:r>
    </w:p>
    <w:p w14:paraId="18C57D77">
      <w:pPr>
        <w:pStyle w:val="4"/>
        <w:spacing w:before="0" w:after="0" w:line="580" w:lineRule="exact"/>
        <w:ind w:firstLine="643" w:firstLineChars="200"/>
        <w:rPr>
          <w:rFonts w:ascii="楷体_GB2312" w:eastAsia="楷体_GB2312"/>
        </w:rPr>
      </w:pPr>
      <w:r>
        <w:rPr>
          <w:rFonts w:hint="eastAsia" w:ascii="楷体_GB2312" w:eastAsia="楷体_GB2312" w:cs="楷体_GB2312"/>
        </w:rPr>
        <w:t>（三）国有资产占用情况</w:t>
      </w:r>
    </w:p>
    <w:p w14:paraId="725882E8">
      <w:pPr>
        <w:adjustRightInd w:val="0"/>
        <w:snapToGrid w:val="0"/>
        <w:spacing w:after="0" w:line="580" w:lineRule="exact"/>
        <w:ind w:firstLine="640" w:firstLineChars="200"/>
        <w:rPr>
          <w:rFonts w:ascii="仿宋_GB2312" w:eastAsia="仿宋_GB2312"/>
          <w:sz w:val="32"/>
          <w:szCs w:val="32"/>
        </w:rPr>
      </w:pPr>
      <w:r>
        <w:rPr>
          <w:rFonts w:hint="eastAsia" w:ascii="仿宋_GB2312" w:eastAsia="仿宋_GB2312" w:cs="仿宋_GB2312"/>
          <w:sz w:val="32"/>
          <w:szCs w:val="32"/>
        </w:rPr>
        <w:t>截至</w:t>
      </w:r>
      <w:r>
        <w:rPr>
          <w:rFonts w:ascii="仿宋_GB2312" w:eastAsia="仿宋_GB2312" w:cs="仿宋_GB2312"/>
          <w:sz w:val="32"/>
          <w:szCs w:val="32"/>
        </w:rPr>
        <w:t>2018</w:t>
      </w:r>
      <w:r>
        <w:rPr>
          <w:rFonts w:hint="eastAsia" w:ascii="仿宋_GB2312" w:eastAsia="仿宋_GB2312" w:cs="仿宋_GB2312"/>
          <w:sz w:val="32"/>
          <w:szCs w:val="32"/>
        </w:rPr>
        <w:t>年</w:t>
      </w:r>
      <w:r>
        <w:rPr>
          <w:rFonts w:ascii="仿宋_GB2312" w:eastAsia="仿宋_GB2312" w:cs="仿宋_GB2312"/>
          <w:sz w:val="32"/>
          <w:szCs w:val="32"/>
        </w:rPr>
        <w:t>12</w:t>
      </w:r>
      <w:r>
        <w:rPr>
          <w:rFonts w:hint="eastAsia" w:ascii="仿宋_GB2312" w:eastAsia="仿宋_GB2312" w:cs="仿宋_GB2312"/>
          <w:sz w:val="32"/>
          <w:szCs w:val="32"/>
        </w:rPr>
        <w:t>月</w:t>
      </w:r>
      <w:r>
        <w:rPr>
          <w:rFonts w:ascii="仿宋_GB2312" w:eastAsia="仿宋_GB2312" w:cs="仿宋_GB2312"/>
          <w:sz w:val="32"/>
          <w:szCs w:val="32"/>
        </w:rPr>
        <w:t>31</w:t>
      </w:r>
      <w:r>
        <w:rPr>
          <w:rFonts w:hint="eastAsia" w:ascii="仿宋_GB2312" w:eastAsia="仿宋_GB2312" w:cs="仿宋_GB2312"/>
          <w:sz w:val="32"/>
          <w:szCs w:val="32"/>
        </w:rPr>
        <w:t>日，本部门共有车辆</w:t>
      </w:r>
      <w:r>
        <w:rPr>
          <w:rFonts w:hint="eastAsia" w:ascii="仿宋_GB2312" w:eastAsia="仿宋_GB2312" w:cs="仿宋_GB2312"/>
          <w:sz w:val="32"/>
          <w:szCs w:val="32"/>
          <w:lang w:val="en-US" w:eastAsia="zh-CN"/>
        </w:rPr>
        <w:t>1</w:t>
      </w:r>
      <w:r>
        <w:rPr>
          <w:rFonts w:hint="eastAsia" w:ascii="仿宋_GB2312" w:eastAsia="仿宋_GB2312" w:cs="仿宋_GB2312"/>
          <w:sz w:val="32"/>
          <w:szCs w:val="32"/>
        </w:rPr>
        <w:t>辆，比上年增加（减少）</w:t>
      </w:r>
      <w:r>
        <w:rPr>
          <w:rFonts w:ascii="仿宋_GB2312" w:eastAsia="仿宋_GB2312" w:cs="仿宋_GB2312"/>
          <w:sz w:val="32"/>
          <w:szCs w:val="32"/>
        </w:rPr>
        <w:t>0</w:t>
      </w:r>
      <w:r>
        <w:rPr>
          <w:rFonts w:hint="eastAsia" w:ascii="仿宋_GB2312" w:eastAsia="仿宋_GB2312" w:cs="仿宋_GB2312"/>
          <w:sz w:val="32"/>
          <w:szCs w:val="32"/>
        </w:rPr>
        <w:t>辆，主要是未发生车辆购置。其中，副部（省）级及以上领导用车</w:t>
      </w:r>
      <w:r>
        <w:rPr>
          <w:rFonts w:ascii="仿宋_GB2312" w:eastAsia="仿宋_GB2312" w:cs="仿宋_GB2312"/>
          <w:sz w:val="32"/>
          <w:szCs w:val="32"/>
        </w:rPr>
        <w:t>0</w:t>
      </w:r>
      <w:r>
        <w:rPr>
          <w:rFonts w:hint="eastAsia" w:ascii="仿宋_GB2312" w:eastAsia="仿宋_GB2312" w:cs="仿宋_GB2312"/>
          <w:sz w:val="32"/>
          <w:szCs w:val="32"/>
        </w:rPr>
        <w:t>辆，主要领导干部用车</w:t>
      </w:r>
      <w:r>
        <w:rPr>
          <w:rFonts w:ascii="仿宋_GB2312" w:eastAsia="仿宋_GB2312" w:cs="仿宋_GB2312"/>
          <w:sz w:val="32"/>
          <w:szCs w:val="32"/>
        </w:rPr>
        <w:t>0</w:t>
      </w:r>
      <w:r>
        <w:rPr>
          <w:rFonts w:hint="eastAsia" w:ascii="仿宋_GB2312" w:eastAsia="仿宋_GB2312" w:cs="仿宋_GB2312"/>
          <w:sz w:val="32"/>
          <w:szCs w:val="32"/>
        </w:rPr>
        <w:t>辆，机要通信用车</w:t>
      </w:r>
      <w:r>
        <w:rPr>
          <w:rFonts w:ascii="仿宋_GB2312" w:eastAsia="仿宋_GB2312" w:cs="仿宋_GB2312"/>
          <w:sz w:val="32"/>
          <w:szCs w:val="32"/>
        </w:rPr>
        <w:t>0</w:t>
      </w:r>
      <w:r>
        <w:rPr>
          <w:rFonts w:hint="eastAsia" w:ascii="仿宋_GB2312" w:eastAsia="仿宋_GB2312" w:cs="仿宋_GB2312"/>
          <w:sz w:val="32"/>
          <w:szCs w:val="32"/>
        </w:rPr>
        <w:t>辆，应急保障用车</w:t>
      </w:r>
      <w:r>
        <w:rPr>
          <w:rFonts w:ascii="仿宋_GB2312" w:eastAsia="仿宋_GB2312" w:cs="仿宋_GB2312"/>
          <w:sz w:val="32"/>
          <w:szCs w:val="32"/>
        </w:rPr>
        <w:t>0</w:t>
      </w:r>
      <w:r>
        <w:rPr>
          <w:rFonts w:hint="eastAsia" w:ascii="仿宋_GB2312" w:eastAsia="仿宋_GB2312" w:cs="仿宋_GB2312"/>
          <w:sz w:val="32"/>
          <w:szCs w:val="32"/>
        </w:rPr>
        <w:t>辆，执法执勤用车</w:t>
      </w:r>
      <w:r>
        <w:rPr>
          <w:rFonts w:ascii="仿宋_GB2312" w:eastAsia="仿宋_GB2312" w:cs="仿宋_GB2312"/>
          <w:sz w:val="32"/>
          <w:szCs w:val="32"/>
        </w:rPr>
        <w:t>0</w:t>
      </w:r>
      <w:r>
        <w:rPr>
          <w:rFonts w:hint="eastAsia" w:ascii="仿宋_GB2312" w:eastAsia="仿宋_GB2312" w:cs="仿宋_GB2312"/>
          <w:sz w:val="32"/>
          <w:szCs w:val="32"/>
        </w:rPr>
        <w:t>辆，特种专业技术用车</w:t>
      </w:r>
      <w:r>
        <w:rPr>
          <w:rFonts w:ascii="仿宋_GB2312" w:eastAsia="仿宋_GB2312" w:cs="仿宋_GB2312"/>
          <w:sz w:val="32"/>
          <w:szCs w:val="32"/>
        </w:rPr>
        <w:t>0</w:t>
      </w:r>
      <w:r>
        <w:rPr>
          <w:rFonts w:hint="eastAsia" w:ascii="仿宋_GB2312" w:eastAsia="仿宋_GB2312" w:cs="仿宋_GB2312"/>
          <w:sz w:val="32"/>
          <w:szCs w:val="32"/>
        </w:rPr>
        <w:t>辆，离退休干部用车</w:t>
      </w:r>
      <w:r>
        <w:rPr>
          <w:rFonts w:ascii="仿宋_GB2312" w:eastAsia="仿宋_GB2312" w:cs="仿宋_GB2312"/>
          <w:sz w:val="32"/>
          <w:szCs w:val="32"/>
        </w:rPr>
        <w:t>0</w:t>
      </w:r>
      <w:r>
        <w:rPr>
          <w:rFonts w:hint="eastAsia" w:ascii="仿宋_GB2312" w:eastAsia="仿宋_GB2312" w:cs="仿宋_GB2312"/>
          <w:sz w:val="32"/>
          <w:szCs w:val="32"/>
        </w:rPr>
        <w:t>辆，其他用车</w:t>
      </w:r>
      <w:r>
        <w:rPr>
          <w:rFonts w:hint="eastAsia" w:ascii="仿宋_GB2312" w:eastAsia="仿宋_GB2312" w:cs="仿宋_GB2312"/>
          <w:sz w:val="32"/>
          <w:szCs w:val="32"/>
          <w:lang w:val="en-US" w:eastAsia="zh-CN"/>
        </w:rPr>
        <w:t>1</w:t>
      </w:r>
      <w:r>
        <w:rPr>
          <w:rFonts w:hint="eastAsia" w:ascii="仿宋_GB2312" w:eastAsia="仿宋_GB2312" w:cs="仿宋_GB2312"/>
          <w:sz w:val="32"/>
          <w:szCs w:val="32"/>
        </w:rPr>
        <w:t>辆，其他用车主要是</w:t>
      </w:r>
      <w:r>
        <w:rPr>
          <w:rFonts w:hint="eastAsia" w:ascii="仿宋_GB2312" w:eastAsia="仿宋_GB2312" w:cs="仿宋_GB2312"/>
          <w:sz w:val="32"/>
          <w:szCs w:val="32"/>
          <w:lang w:val="en-US" w:eastAsia="zh-CN"/>
        </w:rPr>
        <w:t>0</w:t>
      </w:r>
      <w:r>
        <w:rPr>
          <w:rFonts w:hint="eastAsia" w:ascii="仿宋_GB2312" w:eastAsia="仿宋_GB2312" w:cs="仿宋_GB2312"/>
          <w:sz w:val="32"/>
          <w:szCs w:val="32"/>
        </w:rPr>
        <w:t>；单位价值</w:t>
      </w:r>
      <w:r>
        <w:rPr>
          <w:rFonts w:ascii="仿宋_GB2312" w:hAnsi="TimesNewRomanPSMT" w:eastAsia="仿宋_GB2312" w:cs="仿宋_GB2312"/>
          <w:sz w:val="32"/>
          <w:szCs w:val="32"/>
        </w:rPr>
        <w:t>50</w:t>
      </w:r>
      <w:r>
        <w:rPr>
          <w:rFonts w:hint="eastAsia" w:ascii="仿宋_GB2312" w:eastAsia="仿宋_GB2312" w:cs="仿宋_GB2312"/>
          <w:sz w:val="32"/>
          <w:szCs w:val="32"/>
        </w:rPr>
        <w:t>万元以上通用设备</w:t>
      </w:r>
      <w:r>
        <w:rPr>
          <w:rFonts w:ascii="仿宋_GB2312" w:eastAsia="仿宋_GB2312" w:cs="仿宋_GB2312"/>
          <w:sz w:val="32"/>
          <w:szCs w:val="32"/>
        </w:rPr>
        <w:t>0</w:t>
      </w:r>
      <w:r>
        <w:rPr>
          <w:rFonts w:hint="eastAsia" w:ascii="仿宋_GB2312" w:eastAsia="仿宋_GB2312" w:cs="仿宋_GB2312"/>
          <w:sz w:val="32"/>
          <w:szCs w:val="32"/>
        </w:rPr>
        <w:t>台（套），比上年增加（减少）</w:t>
      </w:r>
      <w:r>
        <w:rPr>
          <w:rFonts w:ascii="仿宋_GB2312" w:eastAsia="仿宋_GB2312" w:cs="仿宋_GB2312"/>
          <w:sz w:val="32"/>
          <w:szCs w:val="32"/>
        </w:rPr>
        <w:t>0</w:t>
      </w:r>
      <w:r>
        <w:rPr>
          <w:rFonts w:hint="eastAsia" w:ascii="仿宋_GB2312" w:eastAsia="仿宋_GB2312" w:cs="仿宋_GB2312"/>
          <w:sz w:val="32"/>
          <w:szCs w:val="32"/>
        </w:rPr>
        <w:t>套，主要是未购置通用设备</w:t>
      </w:r>
      <w:r>
        <w:rPr>
          <w:rFonts w:ascii="仿宋_GB2312" w:eastAsia="仿宋_GB2312" w:cs="仿宋_GB2312"/>
          <w:sz w:val="32"/>
          <w:szCs w:val="32"/>
        </w:rPr>
        <w:t xml:space="preserve"> </w:t>
      </w:r>
      <w:r>
        <w:rPr>
          <w:rFonts w:hint="eastAsia" w:ascii="仿宋_GB2312" w:eastAsia="仿宋_GB2312" w:cs="仿宋_GB2312"/>
          <w:sz w:val="32"/>
          <w:szCs w:val="32"/>
        </w:rPr>
        <w:t>，单位价值</w:t>
      </w:r>
      <w:r>
        <w:rPr>
          <w:rFonts w:ascii="仿宋_GB2312" w:hAnsi="TimesNewRomanPSMT" w:eastAsia="仿宋_GB2312" w:cs="仿宋_GB2312"/>
          <w:sz w:val="32"/>
          <w:szCs w:val="32"/>
        </w:rPr>
        <w:t>100</w:t>
      </w:r>
      <w:r>
        <w:rPr>
          <w:rFonts w:hint="eastAsia" w:ascii="仿宋_GB2312" w:eastAsia="仿宋_GB2312" w:cs="仿宋_GB2312"/>
          <w:sz w:val="32"/>
          <w:szCs w:val="32"/>
        </w:rPr>
        <w:t>万元以上专用设备</w:t>
      </w:r>
      <w:r>
        <w:rPr>
          <w:rFonts w:ascii="仿宋_GB2312" w:eastAsia="仿宋_GB2312" w:cs="仿宋_GB2312"/>
          <w:sz w:val="32"/>
          <w:szCs w:val="32"/>
        </w:rPr>
        <w:t>0</w:t>
      </w:r>
      <w:r>
        <w:rPr>
          <w:rFonts w:hint="eastAsia" w:ascii="仿宋_GB2312" w:eastAsia="仿宋_GB2312" w:cs="仿宋_GB2312"/>
          <w:sz w:val="32"/>
          <w:szCs w:val="32"/>
        </w:rPr>
        <w:t>台（套）比上年增加（减少）</w:t>
      </w:r>
      <w:r>
        <w:rPr>
          <w:rFonts w:ascii="仿宋_GB2312" w:eastAsia="仿宋_GB2312" w:cs="仿宋_GB2312"/>
          <w:sz w:val="32"/>
          <w:szCs w:val="32"/>
        </w:rPr>
        <w:t>0</w:t>
      </w:r>
      <w:r>
        <w:rPr>
          <w:rFonts w:hint="eastAsia" w:ascii="仿宋_GB2312" w:eastAsia="仿宋_GB2312" w:cs="仿宋_GB2312"/>
          <w:sz w:val="32"/>
          <w:szCs w:val="32"/>
        </w:rPr>
        <w:t>套</w:t>
      </w:r>
      <w:r>
        <w:rPr>
          <w:rFonts w:ascii="仿宋_GB2312" w:eastAsia="仿宋_GB2312" w:cs="仿宋_GB2312"/>
          <w:sz w:val="32"/>
          <w:szCs w:val="32"/>
        </w:rPr>
        <w:t>,</w:t>
      </w:r>
      <w:r>
        <w:rPr>
          <w:rFonts w:hint="eastAsia" w:ascii="仿宋_GB2312" w:eastAsia="仿宋_GB2312" w:cs="仿宋_GB2312"/>
          <w:sz w:val="32"/>
          <w:szCs w:val="32"/>
        </w:rPr>
        <w:t>主要是未购置通用设备。</w:t>
      </w:r>
    </w:p>
    <w:p w14:paraId="1C67DE31">
      <w:pPr>
        <w:pStyle w:val="4"/>
        <w:spacing w:before="0" w:after="0" w:line="580" w:lineRule="exact"/>
        <w:ind w:firstLine="643" w:firstLineChars="200"/>
        <w:rPr>
          <w:rFonts w:ascii="楷体_GB2312" w:eastAsia="楷体_GB2312"/>
        </w:rPr>
      </w:pPr>
      <w:r>
        <w:rPr>
          <w:rFonts w:hint="eastAsia" w:ascii="楷体_GB2312" w:eastAsia="楷体_GB2312" w:cs="楷体_GB2312"/>
        </w:rPr>
        <w:t>（四）其他需要说明的情况</w:t>
      </w:r>
    </w:p>
    <w:p w14:paraId="26234FCF">
      <w:pPr>
        <w:adjustRightInd w:val="0"/>
        <w:snapToGrid w:val="0"/>
        <w:spacing w:after="0" w:line="580" w:lineRule="exact"/>
        <w:ind w:firstLine="640" w:firstLineChars="200"/>
        <w:rPr>
          <w:rFonts w:ascii="仿宋_GB2312" w:eastAsia="仿宋_GB2312"/>
          <w:sz w:val="32"/>
          <w:szCs w:val="32"/>
        </w:rPr>
      </w:pPr>
      <w:r>
        <w:rPr>
          <w:rFonts w:ascii="仿宋_GB2312" w:eastAsia="仿宋_GB2312" w:cs="仿宋_GB2312"/>
          <w:sz w:val="32"/>
          <w:szCs w:val="32"/>
        </w:rPr>
        <w:t>1</w:t>
      </w:r>
      <w:r>
        <w:rPr>
          <w:rFonts w:hint="eastAsia" w:ascii="仿宋_GB2312" w:eastAsia="仿宋_GB2312" w:cs="仿宋_GB2312"/>
          <w:sz w:val="32"/>
          <w:szCs w:val="32"/>
        </w:rPr>
        <w:t>、本部门</w:t>
      </w:r>
      <w:r>
        <w:rPr>
          <w:rFonts w:ascii="仿宋_GB2312" w:eastAsia="仿宋_GB2312" w:cs="仿宋_GB2312"/>
          <w:sz w:val="32"/>
          <w:szCs w:val="32"/>
        </w:rPr>
        <w:t>2018</w:t>
      </w:r>
      <w:r>
        <w:rPr>
          <w:rFonts w:hint="eastAsia" w:ascii="仿宋_GB2312" w:eastAsia="仿宋_GB2312" w:cs="仿宋_GB2312"/>
          <w:sz w:val="32"/>
          <w:szCs w:val="32"/>
        </w:rPr>
        <w:t>年度政府性基金预算财政拨款无收支及结转结余情况，故政府性基金预算财政拨款收入支出决算表以空表列示。</w:t>
      </w:r>
    </w:p>
    <w:p w14:paraId="233F39C5">
      <w:pPr>
        <w:adjustRightInd w:val="0"/>
        <w:snapToGrid w:val="0"/>
        <w:spacing w:after="0" w:line="580" w:lineRule="exact"/>
        <w:ind w:firstLine="640" w:firstLineChars="200"/>
        <w:rPr>
          <w:rFonts w:ascii="仿宋_GB2312" w:eastAsia="仿宋_GB2312"/>
          <w:sz w:val="32"/>
          <w:szCs w:val="32"/>
        </w:rPr>
      </w:pPr>
      <w:r>
        <w:rPr>
          <w:rFonts w:ascii="仿宋_GB2312" w:eastAsia="仿宋_GB2312" w:cs="仿宋_GB2312"/>
          <w:sz w:val="32"/>
          <w:szCs w:val="32"/>
        </w:rPr>
        <w:t>2</w:t>
      </w:r>
      <w:r>
        <w:rPr>
          <w:rFonts w:hint="eastAsia" w:ascii="仿宋_GB2312" w:eastAsia="仿宋_GB2312" w:cs="仿宋_GB2312"/>
          <w:sz w:val="32"/>
          <w:szCs w:val="32"/>
        </w:rPr>
        <w:t>、本部门</w:t>
      </w:r>
      <w:r>
        <w:rPr>
          <w:rFonts w:ascii="仿宋_GB2312" w:eastAsia="仿宋_GB2312" w:cs="仿宋_GB2312"/>
          <w:sz w:val="32"/>
          <w:szCs w:val="32"/>
        </w:rPr>
        <w:t>2018</w:t>
      </w:r>
      <w:r>
        <w:rPr>
          <w:rFonts w:hint="eastAsia" w:ascii="仿宋_GB2312" w:eastAsia="仿宋_GB2312" w:cs="仿宋_GB2312"/>
          <w:sz w:val="32"/>
          <w:szCs w:val="32"/>
        </w:rPr>
        <w:t>年度国有资本经营预算财政拨款无支出情况，故国有资本经营预算财政拨款支出决算表以空表列示。</w:t>
      </w:r>
    </w:p>
    <w:p w14:paraId="74CA9798">
      <w:pPr>
        <w:adjustRightInd w:val="0"/>
        <w:snapToGrid w:val="0"/>
        <w:spacing w:after="0" w:line="580" w:lineRule="exact"/>
        <w:ind w:firstLine="640" w:firstLineChars="200"/>
        <w:rPr>
          <w:rFonts w:ascii="仿宋_GB2312" w:eastAsia="仿宋_GB2312"/>
          <w:sz w:val="32"/>
          <w:szCs w:val="32"/>
        </w:rPr>
      </w:pPr>
      <w:r>
        <w:rPr>
          <w:rFonts w:hint="eastAsia" w:ascii="仿宋_GB2312" w:eastAsia="仿宋_GB2312" w:cs="仿宋_GB2312"/>
          <w:sz w:val="32"/>
          <w:szCs w:val="32"/>
          <w:lang w:val="en-US" w:eastAsia="zh-CN"/>
        </w:rPr>
        <w:t>3</w:t>
      </w:r>
      <w:r>
        <w:rPr>
          <w:rFonts w:hint="eastAsia" w:ascii="仿宋_GB2312" w:eastAsia="仿宋_GB2312" w:cs="仿宋_GB2312"/>
          <w:sz w:val="32"/>
          <w:szCs w:val="32"/>
        </w:rPr>
        <w:t>、由于决算公开表格中金额数值应当保留两位小数，公开数据为四舍五入计算结</w:t>
      </w:r>
      <w:r>
        <mc:AlternateContent>
          <mc:Choice Requires="wpg">
            <w:drawing>
              <wp:anchor distT="0" distB="0" distL="114300" distR="114300" simplePos="0" relativeHeight="251678720"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38" name="组合 39"/>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36" name="矩形 13"/>
                        <wps:cNvSpPr/>
                        <wps:spPr>
                          <a:xfrm>
                            <a:off x="4551" y="52615"/>
                            <a:ext cx="8546" cy="1175"/>
                          </a:xfrm>
                          <a:prstGeom prst="rect">
                            <a:avLst/>
                          </a:prstGeom>
                          <a:solidFill>
                            <a:srgbClr val="D9D9D9"/>
                          </a:solidFill>
                          <a:ln w="25400">
                            <a:noFill/>
                          </a:ln>
                        </wps:spPr>
                        <wps:bodyPr anchor="ctr" upright="1"/>
                      </wps:wsp>
                      <wps:wsp>
                        <wps:cNvPr id="37" name="矩形 14"/>
                        <wps:cNvSpPr/>
                        <wps:spPr>
                          <a:xfrm>
                            <a:off x="4577" y="52890"/>
                            <a:ext cx="8324" cy="1123"/>
                          </a:xfrm>
                          <a:prstGeom prst="rect">
                            <a:avLst/>
                          </a:prstGeom>
                          <a:solidFill>
                            <a:srgbClr val="AD002D"/>
                          </a:solidFill>
                          <a:ln w="25400" cap="flat" cmpd="sng">
                            <a:solidFill>
                              <a:srgbClr val="B0761F"/>
                            </a:solidFill>
                            <a:prstDash val="solid"/>
                            <a:round/>
                            <a:headEnd type="none" w="med" len="med"/>
                            <a:tailEnd type="none" w="med" len="med"/>
                          </a:ln>
                        </wps:spPr>
                        <wps:txbx>
                          <w:txbxContent>
                            <w:p w14:paraId="0985CC0B">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7E774DD1">
                              <w:pPr>
                                <w:jc w:val="center"/>
                              </w:pPr>
                            </w:p>
                          </w:txbxContent>
                        </wps:txbx>
                        <wps:bodyPr anchor="ctr" upright="1"/>
                      </wps:wsp>
                    </wpg:wgp>
                  </a:graphicData>
                </a:graphic>
              </wp:anchor>
            </w:drawing>
          </mc:Choice>
          <mc:Fallback>
            <w:pict>
              <v:group id="组合 39" o:spid="_x0000_s1026" o:spt="203" style="position:absolute;left:0pt;margin-left:-0.55pt;margin-top:29.3pt;height:43.95pt;width:301.85pt;mso-position-horizontal-relative:page;mso-position-vertical-relative:page;z-index:251678720;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">
                <o:lock v:ext="edit" aspectratio="f"/>
                <v:rect id="矩形 13" o:spid="_x0000_s1026" o:spt="1" style="position:absolute;left:4551;top:52615;height:1175;width:8546;v-text-anchor:middle;" fillcolor="#D9D9D9" filled="t" stroked="f" coordsize="21600,21600" o:gfxdata="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lzVp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oLk0CbwAAADb&#10;AAAADwAAAGRycy9kb3ducmV2LnhtbEWPQWvCQBSE7wX/w/KE3uquFmJ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C5NAm8AAAA&#10;2wAAAA8AAAAAAAAAAQAgAAAAIgAAAGRycy9kb3ducmV2LnhtbFBLAQIUABQAAAAIAIdO4kAzLwWe&#10;OwAAADkAAAAQAAAAAAAAAAEAIAAAAAsBAABkcnMvc2hhcGV4bWwueG1sUEsFBgAAAAAGAAYAWwEA&#10;ALUDAAAAAA==&#10;">
                  <v:fill on="t" focussize="0,0"/>
                  <v:stroke weight="2pt" color="#B0761F" joinstyle="round"/>
                  <v:imagedata o:title=""/>
                  <o:lock v:ext="edit" aspectratio="f"/>
                  <v:textbox>
                    <w:txbxContent>
                      <w:p w14:paraId="0985CC0B">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7E774DD1">
                        <w:pPr>
                          <w:jc w:val="center"/>
                        </w:pPr>
                      </w:p>
                    </w:txbxContent>
                  </v:textbox>
                </v:rect>
                <w10:anchorlock/>
              </v:group>
            </w:pict>
          </mc:Fallback>
        </mc:AlternateContent>
      </w:r>
      <w:r>
        <w:rPr>
          <w:rFonts w:hint="eastAsia" w:ascii="仿宋_GB2312" w:eastAsia="仿宋_GB2312" w:cs="仿宋_GB2312"/>
          <w:sz w:val="32"/>
          <w:szCs w:val="32"/>
        </w:rPr>
        <w:t>果，个别数据合计项与分项之和存在小数点后差额，特此说明。</w:t>
      </w:r>
    </w:p>
    <w:p w14:paraId="2A5E1748">
      <w:pPr>
        <w:widowControl/>
        <w:spacing w:after="0" w:line="580" w:lineRule="exact"/>
        <w:ind w:firstLine="883" w:firstLineChars="200"/>
        <w:jc w:val="left"/>
        <w:rPr>
          <w:rFonts w:ascii="宋体" w:cs="宋体"/>
          <w:b/>
          <w:bCs/>
          <w:kern w:val="0"/>
          <w:sz w:val="44"/>
          <w:szCs w:val="44"/>
        </w:rPr>
        <w:sectPr>
          <w:pgSz w:w="11906" w:h="16838"/>
          <w:pgMar w:top="2098" w:right="1474" w:bottom="1984" w:left="1588" w:header="851" w:footer="992" w:gutter="0"/>
          <w:cols w:space="0" w:num="1"/>
          <w:docGrid w:type="lines" w:linePitch="312" w:charSpace="0"/>
        </w:sectPr>
      </w:pPr>
    </w:p>
    <w:p w14:paraId="04044DB5">
      <w:pPr>
        <w:rPr>
          <w:rFonts w:ascii="宋体"/>
          <w:color w:val="000000"/>
          <w:kern w:val="0"/>
        </w:rPr>
        <w:sectPr>
          <w:pgSz w:w="11906" w:h="16838"/>
          <w:pgMar w:top="2098" w:right="1474" w:bottom="1984" w:left="1588" w:header="851" w:footer="992" w:gutter="0"/>
          <w:cols w:space="0" w:num="1"/>
          <w:docGrid w:type="lines" w:linePitch="312" w:charSpace="0"/>
        </w:sectPr>
      </w:pPr>
      <w:r>
        <w:drawing>
          <wp:anchor distT="0" distB="0" distL="114300" distR="114300" simplePos="0" relativeHeight="251668480" behindDoc="1" locked="1"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12"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21" descr="2"/>
                    <pic:cNvPicPr>
                      <a:picLocks noChangeAspect="1"/>
                    </pic:cNvPicPr>
                  </pic:nvPicPr>
                  <pic:blipFill>
                    <a:blip r:embed="rId7"/>
                    <a:stretch>
                      <a:fillRect/>
                    </a:stretch>
                  </pic:blipFill>
                  <pic:spPr>
                    <a:xfrm>
                      <a:off x="0" y="0"/>
                      <a:ext cx="7550150" cy="10680065"/>
                    </a:xfrm>
                    <a:prstGeom prst="rect">
                      <a:avLst/>
                    </a:prstGeom>
                    <a:noFill/>
                    <a:ln>
                      <a:noFill/>
                    </a:ln>
                  </pic:spPr>
                </pic:pic>
              </a:graphicData>
            </a:graphic>
          </wp:anchor>
        </w:drawing>
      </w:r>
      <w:r>
        <mc:AlternateContent>
          <mc:Choice Requires="wps">
            <w:drawing>
              <wp:anchor distT="0" distB="0" distL="114300" distR="114300" simplePos="0" relativeHeight="251667456" behindDoc="0" locked="1" layoutInCell="1" allowOverlap="1">
                <wp:simplePos x="0" y="0"/>
                <wp:positionH relativeFrom="column">
                  <wp:posOffset>-999490</wp:posOffset>
                </wp:positionH>
                <wp:positionV relativeFrom="paragraph">
                  <wp:posOffset>2956560</wp:posOffset>
                </wp:positionV>
                <wp:extent cx="7571740" cy="2020570"/>
                <wp:effectExtent l="0" t="0" r="0" b="0"/>
                <wp:wrapNone/>
                <wp:docPr id="11" name="文本框 43"/>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txbx>
                        <w:txbxContent>
                          <w:p w14:paraId="3AE990DC">
                            <w:pPr>
                              <w:widowControl/>
                              <w:spacing w:line="1200" w:lineRule="exact"/>
                              <w:jc w:val="center"/>
                              <w:rPr>
                                <w:rFonts w:ascii="黑体" w:hAnsi="宋体" w:eastAsia="黑体"/>
                                <w:color w:val="FDEFBE"/>
                                <w:sz w:val="96"/>
                                <w:szCs w:val="96"/>
                              </w:rPr>
                            </w:pPr>
                            <w:r>
                              <w:rPr>
                                <w:rFonts w:hint="eastAsia" w:ascii="黑体" w:hAnsi="宋体" w:eastAsia="黑体" w:cs="黑体"/>
                                <w:color w:val="FDEFBE"/>
                                <w:sz w:val="96"/>
                                <w:szCs w:val="96"/>
                              </w:rPr>
                              <w:t>第四部分</w:t>
                            </w:r>
                          </w:p>
                          <w:p w14:paraId="41B93236">
                            <w:pPr>
                              <w:widowControl/>
                              <w:spacing w:line="1200" w:lineRule="exact"/>
                              <w:jc w:val="center"/>
                              <w:rPr>
                                <w:color w:val="FDEFBE"/>
                                <w:sz w:val="96"/>
                                <w:szCs w:val="96"/>
                              </w:rPr>
                            </w:pPr>
                            <w:r>
                              <w:rPr>
                                <w:rFonts w:hint="eastAsia" w:ascii="黑体" w:hAnsi="宋体" w:eastAsia="黑体" w:cs="黑体"/>
                                <w:color w:val="FDEFBE"/>
                                <w:sz w:val="96"/>
                                <w:szCs w:val="96"/>
                              </w:rPr>
                              <w:t>名词解释</w:t>
                            </w:r>
                          </w:p>
                        </w:txbxContent>
                      </wps:txbx>
                      <wps:bodyPr upright="1"/>
                    </wps:wsp>
                  </a:graphicData>
                </a:graphic>
              </wp:anchor>
            </w:drawing>
          </mc:Choice>
          <mc:Fallback>
            <w:pict>
              <v:shape id="文本框 43" o:spid="_x0000_s1026" o:spt="202" type="#_x0000_t202" style="position:absolute;left:0pt;margin-left:-78.7pt;margin-top:232.8pt;height:159.1pt;width:596.2pt;z-index:25166745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ZZp6M3gAAAA0BAAAPAAAAAAAAAAEAIAAAACIAAABkcnMvZG93bnJldi54bWxQ&#10;SwECFAAUAAAACACHTuJAWs68HrgBAABaAwAADgAAAAAAAAABACAAAAAtAQAAZHJzL2Uyb0RvYy54&#10;bWxQSwUGAAAAAAYABgBZAQAAVwUAAAAA&#10;">
                <v:fill on="f" focussize="0,0"/>
                <v:stroke on="f" weight="0.5pt"/>
                <v:imagedata o:title=""/>
                <o:lock v:ext="edit" aspectratio="f"/>
                <v:textbox>
                  <w:txbxContent>
                    <w:p w14:paraId="3AE990DC">
                      <w:pPr>
                        <w:widowControl/>
                        <w:spacing w:line="1200" w:lineRule="exact"/>
                        <w:jc w:val="center"/>
                        <w:rPr>
                          <w:rFonts w:ascii="黑体" w:hAnsi="宋体" w:eastAsia="黑体"/>
                          <w:color w:val="FDEFBE"/>
                          <w:sz w:val="96"/>
                          <w:szCs w:val="96"/>
                        </w:rPr>
                      </w:pPr>
                      <w:r>
                        <w:rPr>
                          <w:rFonts w:hint="eastAsia" w:ascii="黑体" w:hAnsi="宋体" w:eastAsia="黑体" w:cs="黑体"/>
                          <w:color w:val="FDEFBE"/>
                          <w:sz w:val="96"/>
                          <w:szCs w:val="96"/>
                        </w:rPr>
                        <w:t>第四部分</w:t>
                      </w:r>
                    </w:p>
                    <w:p w14:paraId="41B93236">
                      <w:pPr>
                        <w:widowControl/>
                        <w:spacing w:line="1200" w:lineRule="exact"/>
                        <w:jc w:val="center"/>
                        <w:rPr>
                          <w:color w:val="FDEFBE"/>
                          <w:sz w:val="96"/>
                          <w:szCs w:val="96"/>
                        </w:rPr>
                      </w:pPr>
                      <w:r>
                        <w:rPr>
                          <w:rFonts w:hint="eastAsia" w:ascii="黑体" w:hAnsi="宋体" w:eastAsia="黑体" w:cs="黑体"/>
                          <w:color w:val="FDEFBE"/>
                          <w:sz w:val="96"/>
                          <w:szCs w:val="96"/>
                        </w:rPr>
                        <w:t>名词解释</w:t>
                      </w:r>
                    </w:p>
                  </w:txbxContent>
                </v:textbox>
                <w10:anchorlock/>
              </v:shape>
            </w:pict>
          </mc:Fallback>
        </mc:AlternateContent>
      </w:r>
    </w:p>
    <w:p w14:paraId="78DA62A0">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（一）财政拨款收入：</w:t>
      </w:r>
      <w:r>
        <w:rPr>
          <w:rFonts w:hint="eastAsia" w:ascii="仿宋_GB2312" w:hAnsi="宋体" w:eastAsia="仿宋_GB2312" w:cs="仿宋_GB2312"/>
          <w:color w:val="000000"/>
          <w:kern w:val="0"/>
          <w:sz w:val="32"/>
          <w:szCs w:val="32"/>
        </w:rPr>
        <w:t>本年度从本级财政部门取得的财政拨款，包括一般公共预算财政拨款和政府性基金预算财政拨款。</w:t>
      </w:r>
    </w:p>
    <w:p w14:paraId="2287A2C2">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（二）事业收入：</w:t>
      </w:r>
      <w:r>
        <w:rPr>
          <w:rFonts w:hint="eastAsia" w:ascii="仿宋_GB2312" w:hAnsi="宋体" w:eastAsia="仿宋_GB2312" w:cs="仿宋_GB2312"/>
          <w:color w:val="000000"/>
          <w:kern w:val="0"/>
          <w:sz w:val="32"/>
          <w:szCs w:val="32"/>
        </w:rPr>
        <w:t>指事业单位开展专业业务活动及辅助活动所取得的收入。</w:t>
      </w:r>
    </w:p>
    <w:p w14:paraId="212BC4E3">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（三）其他收入：</w:t>
      </w:r>
      <w:r>
        <w:rPr>
          <w:rFonts w:hint="eastAsia" w:ascii="仿宋_GB2312" w:hAnsi="宋体" w:eastAsia="仿宋_GB2312" w:cs="仿宋_GB2312"/>
          <w:color w:val="000000"/>
          <w:kern w:val="0"/>
          <w:sz w:val="32"/>
          <w:szCs w:val="32"/>
        </w:rPr>
        <w:t>指除上述“财政拨款收入”“事业收入”“经营收入”等以外的收入。</w:t>
      </w:r>
    </w:p>
    <w:p w14:paraId="24FE8AF1">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（四）用事业基金弥补收支差额：</w:t>
      </w:r>
      <w:r>
        <w:rPr>
          <w:rFonts w:hint="eastAsia" w:ascii="仿宋_GB2312" w:hAnsi="宋体" w:eastAsia="仿宋_GB2312" w:cs="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452065E0">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（五）年初结转和结余：</w:t>
      </w:r>
      <w:r>
        <w:rPr>
          <w:rFonts w:hint="eastAsia" w:ascii="仿宋_GB2312" w:hAnsi="宋体" w:eastAsia="仿宋_GB2312" w:cs="仿宋_GB2312"/>
          <w:color w:val="000000"/>
          <w:kern w:val="0"/>
          <w:sz w:val="32"/>
          <w:szCs w:val="32"/>
        </w:rPr>
        <w:t>指以前年度尚未完成、结转到本年仍按原规定用途继续使用的资金，或项目已完成等产生的结余资金。</w:t>
      </w:r>
    </w:p>
    <w:p w14:paraId="7499A33B">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（六）结余分配：</w:t>
      </w:r>
      <w:r>
        <w:rPr>
          <w:rFonts w:hint="eastAsia" w:ascii="仿宋_GB2312" w:hAnsi="宋体" w:eastAsia="仿宋_GB2312" w:cs="仿宋_GB2312"/>
          <w:color w:val="000000"/>
          <w:kern w:val="0"/>
          <w:sz w:val="32"/>
          <w:szCs w:val="32"/>
        </w:rPr>
        <w:t>指事业单位按照事业单位会计制度的规定从非财政补助结余中分配的事业基金和职工福利基金等。</w:t>
      </w:r>
    </w:p>
    <w:p w14:paraId="56D343B5">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（七）年末结转和结</w:t>
      </w:r>
      <w:r>
        <mc:AlternateContent>
          <mc:Choice Requires="wpg">
            <w:drawing>
              <wp:anchor distT="0" distB="0" distL="114300" distR="114300" simplePos="0" relativeHeight="251671552"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17" name="组合 44"/>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15" name="矩形 13"/>
                        <wps:cNvSpPr/>
                        <wps:spPr>
                          <a:xfrm>
                            <a:off x="4551" y="52615"/>
                            <a:ext cx="8546" cy="1175"/>
                          </a:xfrm>
                          <a:prstGeom prst="rect">
                            <a:avLst/>
                          </a:prstGeom>
                          <a:solidFill>
                            <a:srgbClr val="D9D9D9"/>
                          </a:solidFill>
                          <a:ln w="25400">
                            <a:noFill/>
                          </a:ln>
                        </wps:spPr>
                        <wps:bodyPr anchor="ctr" upright="1"/>
                      </wps:wsp>
                      <wps:wsp>
                        <wps:cNvPr id="16" name="矩形 14"/>
                        <wps:cNvSpPr/>
                        <wps:spPr>
                          <a:xfrm>
                            <a:off x="4577" y="52890"/>
                            <a:ext cx="8324" cy="1123"/>
                          </a:xfrm>
                          <a:prstGeom prst="rect">
                            <a:avLst/>
                          </a:prstGeom>
                          <a:solidFill>
                            <a:srgbClr val="AD002D"/>
                          </a:solidFill>
                          <a:ln w="25400" cap="flat" cmpd="sng">
                            <a:solidFill>
                              <a:srgbClr val="B0761F"/>
                            </a:solidFill>
                            <a:prstDash val="solid"/>
                            <a:round/>
                            <a:headEnd type="none" w="med" len="med"/>
                            <a:tailEnd type="none" w="med" len="med"/>
                          </a:ln>
                        </wps:spPr>
                        <wps:txbx>
                          <w:txbxContent>
                            <w:p w14:paraId="75D02A98">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名词解释</w:t>
                              </w:r>
                            </w:p>
                            <w:p w14:paraId="7C476739">
                              <w:pPr>
                                <w:jc w:val="center"/>
                              </w:pPr>
                            </w:p>
                          </w:txbxContent>
                        </wps:txbx>
                        <wps:bodyPr anchor="ctr" upright="1"/>
                      </wps:wsp>
                    </wpg:wgp>
                  </a:graphicData>
                </a:graphic>
              </wp:anchor>
            </w:drawing>
          </mc:Choice>
          <mc:Fallback>
            <w:pict>
              <v:group id="组合 44" o:spid="_x0000_s1026" o:spt="203" style="position:absolute;left:0pt;margin-left:-81.05pt;margin-top:39.65pt;height:43.95pt;width:264.85pt;mso-position-vertical-relative:page;z-index:251671552;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">
                <o:lock v:ext="edit" aspectratio="f"/>
                <v:rect id="矩形 13" o:spid="_x0000_s1026" o:spt="1" style="position:absolute;left:4551;top:52615;height:1175;width:8546;v-text-anchor:middle;" fillcolor="#D9D9D9" filled="t" stroked="f" coordsize="21600,21600" o:gfxdata="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sXs7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hEDN8rgAAADb&#10;AAAADwAAAGRycy9kb3ducmV2LnhtbEVPS4vCMBC+C/sfwgh7s4keaukaBQUXj66vvQ7N2BabSUni&#10;699vFgRv8/E9Z7Z42E7cyIfWsYZxpkAQV860XGs47NejAkSIyAY7x6ThSQEW84/BDEvj7vxDt12s&#10;RQrhUKKGJsa+lDJUDVkMmeuJE3d23mJM0NfSeLyncNvJiVK5tNhyamiwp1VD1WV3tRry7XLlqn3x&#10;ffK/rdq66/pZTI9afw7H6gtEpEd8i1/ujUnzc/j/JR0g5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hEDN8rgAAADbAAAA&#10;DwAAAAAAAAABACAAAAAiAAAAZHJzL2Rvd25yZXYueG1sUEsBAhQAFAAAAAgAh07iQDMvBZ47AAAA&#10;OQAAABAAAAAAAAAAAQAgAAAABwEAAGRycy9zaGFwZXhtbC54bWxQSwUGAAAAAAYABgBbAQAAsQMA&#10;AAAA&#10;">
                  <v:fill on="t" focussize="0,0"/>
                  <v:stroke weight="2pt" color="#B0761F" joinstyle="round"/>
                  <v:imagedata o:title=""/>
                  <o:lock v:ext="edit" aspectratio="f"/>
                  <v:textbox>
                    <w:txbxContent>
                      <w:p w14:paraId="75D02A98">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名词解释</w:t>
                        </w:r>
                      </w:p>
                      <w:p w14:paraId="7C476739">
                        <w:pPr>
                          <w:jc w:val="center"/>
                        </w:pPr>
                      </w:p>
                    </w:txbxContent>
                  </v:textbox>
                </v:rect>
                <w10:anchorlock/>
              </v:group>
            </w:pict>
          </mc:Fallback>
        </mc:AlternateContent>
      </w:r>
      <w:r>
        <w:rPr>
          <w:rFonts w:hint="eastAsia" w:ascii="仿宋_GB2312" w:hAnsi="宋体" w:eastAsia="仿宋_GB2312" w:cs="仿宋_GB2312"/>
          <w:b/>
          <w:bCs/>
          <w:color w:val="000000"/>
          <w:kern w:val="0"/>
          <w:sz w:val="32"/>
          <w:szCs w:val="32"/>
        </w:rPr>
        <w:t>余：</w:t>
      </w:r>
      <w:r>
        <w:rPr>
          <w:rFonts w:hint="eastAsia" w:ascii="仿宋_GB2312" w:hAnsi="宋体" w:eastAsia="仿宋_GB2312" w:cs="仿宋_GB2312"/>
          <w:color w:val="000000"/>
          <w:kern w:val="0"/>
          <w:sz w:val="32"/>
          <w:szCs w:val="32"/>
        </w:rPr>
        <w:t>指单位按有关规定结转到下年或以后年度继续使用的资金，或项目已完成等产生的结余资金。</w:t>
      </w:r>
    </w:p>
    <w:p w14:paraId="5F66E502">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（八）基本支出：</w:t>
      </w:r>
      <w:r>
        <w:rPr>
          <w:rFonts w:hint="eastAsia" w:ascii="仿宋_GB2312" w:hAnsi="宋体" w:eastAsia="仿宋_GB2312" w:cs="仿宋_GB2312"/>
          <w:color w:val="000000"/>
          <w:kern w:val="0"/>
          <w:sz w:val="32"/>
          <w:szCs w:val="32"/>
        </w:rPr>
        <w:t>填列单位为保障机构正常运转、完成日常工作任务而发生的各项支出。</w:t>
      </w:r>
    </w:p>
    <w:p w14:paraId="3100D928">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（九）项目支出：</w:t>
      </w:r>
      <w:r>
        <w:rPr>
          <w:rFonts w:hint="eastAsia" w:ascii="仿宋_GB2312" w:hAnsi="宋体" w:eastAsia="仿宋_GB2312" w:cs="仿宋_GB2312"/>
          <w:color w:val="000000"/>
          <w:kern w:val="0"/>
          <w:sz w:val="32"/>
          <w:szCs w:val="32"/>
        </w:rPr>
        <w:t>填列单位为完成特定的行政工作任务或事业发展目标，在基本支出之外发生的各项支出</w:t>
      </w:r>
    </w:p>
    <w:p w14:paraId="5D43C7AB">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（十）资本性支出（基本建设）：</w:t>
      </w:r>
      <w:r>
        <w:rPr>
          <w:rFonts w:hint="eastAsia" w:ascii="仿宋_GB2312" w:hAnsi="宋体" w:eastAsia="仿宋_GB2312" w:cs="仿宋_GB2312"/>
          <w:color w:val="000000"/>
          <w:kern w:val="0"/>
          <w:sz w:val="32"/>
          <w:szCs w:val="32"/>
        </w:rPr>
        <w:t>填列切块由发展改革部门安排的基本建设支出，对企业补助支出不在此科目反映。</w:t>
      </w:r>
    </w:p>
    <w:p w14:paraId="6180C917">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（十一）资本性支出：</w:t>
      </w:r>
      <w:r>
        <w:rPr>
          <w:rFonts w:hint="eastAsia" w:ascii="仿宋_GB2312" w:hAnsi="宋体" w:eastAsia="仿宋_GB2312" w:cs="仿宋_GB2312"/>
          <w:color w:val="000000"/>
          <w:kern w:val="0"/>
          <w:sz w:val="32"/>
          <w:szCs w:val="32"/>
        </w:rPr>
        <w:t>填列各单位安排的资本性支出。切块由发展改革部门安排的基本建设支出不在此科目反映。</w:t>
      </w:r>
    </w:p>
    <w:p w14:paraId="44CA3034">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（十二）“三公”经费：</w:t>
      </w:r>
      <w:r>
        <w:rPr>
          <w:rFonts w:hint="eastAsia" w:ascii="仿宋_GB2312" w:hAnsi="宋体" w:eastAsia="仿宋_GB2312" w:cs="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mc:AlternateContent>
          <mc:Choice Requires="wpg">
            <w:drawing>
              <wp:anchor distT="0" distB="0" distL="114300" distR="114300" simplePos="0" relativeHeight="251679744"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41" name="组合 47"/>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39" name="矩形 13"/>
                        <wps:cNvSpPr/>
                        <wps:spPr>
                          <a:xfrm>
                            <a:off x="4551" y="52615"/>
                            <a:ext cx="8546" cy="1175"/>
                          </a:xfrm>
                          <a:prstGeom prst="rect">
                            <a:avLst/>
                          </a:prstGeom>
                          <a:solidFill>
                            <a:srgbClr val="D9D9D9"/>
                          </a:solidFill>
                          <a:ln w="25400">
                            <a:noFill/>
                          </a:ln>
                        </wps:spPr>
                        <wps:bodyPr anchor="ctr" upright="1"/>
                      </wps:wsp>
                      <wps:wsp>
                        <wps:cNvPr id="40" name="矩形 14"/>
                        <wps:cNvSpPr/>
                        <wps:spPr>
                          <a:xfrm>
                            <a:off x="4577" y="52890"/>
                            <a:ext cx="8324" cy="1123"/>
                          </a:xfrm>
                          <a:prstGeom prst="rect">
                            <a:avLst/>
                          </a:prstGeom>
                          <a:solidFill>
                            <a:srgbClr val="AD002D"/>
                          </a:solidFill>
                          <a:ln w="25400" cap="flat" cmpd="sng">
                            <a:solidFill>
                              <a:srgbClr val="B0761F"/>
                            </a:solidFill>
                            <a:prstDash val="solid"/>
                            <a:round/>
                            <a:headEnd type="none" w="med" len="med"/>
                            <a:tailEnd type="none" w="med" len="med"/>
                          </a:ln>
                        </wps:spPr>
                        <wps:txbx>
                          <w:txbxContent>
                            <w:p w14:paraId="21367248">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名词解释</w:t>
                              </w:r>
                            </w:p>
                            <w:p w14:paraId="28F2C3F7">
                              <w:pPr>
                                <w:jc w:val="center"/>
                              </w:pPr>
                            </w:p>
                          </w:txbxContent>
                        </wps:txbx>
                        <wps:bodyPr anchor="ctr" upright="1"/>
                      </wps:wsp>
                    </wpg:wgp>
                  </a:graphicData>
                </a:graphic>
              </wp:anchor>
            </w:drawing>
          </mc:Choice>
          <mc:Fallback>
            <w:pict>
              <v:group id="组合 47" o:spid="_x0000_s1026" o:spt="203" style="position:absolute;left:0pt;margin-left:-81.05pt;margin-top:39.65pt;height:43.95pt;width:264.85pt;mso-position-vertical-relative:page;z-index:251679744;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">
                <o:lock v:ext="edit" aspectratio="f"/>
                <v:rect id="矩形 13" o:spid="_x0000_s1026" o:spt="1" style="position:absolute;left:4551;top:52615;height:1175;width:8546;v-text-anchor:middle;" fillcolor="#D9D9D9" filled="t" stroked="f" coordsize="21600,21600" o:gfxdata="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8NB1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d1bfALkAAADb&#10;AAAADwAAAGRycy9kb3ducmV2LnhtbEVPy4rCMBTdD/gP4QruxkQZOqUahRGUWWqdx/bSXNsyzU1J&#10;0qp/bxbCLA/nvd7ebCdG8qF1rGExVyCIK2darjV8nfevOYgQkQ12jknDnQJsN5OXNRbGXflEYxlr&#10;kUI4FKihibEvpAxVQxbD3PXEibs4bzEm6GtpPF5TuO3kUqlMWmw5NTTY066h6q8crIbs+LFz1Tk/&#10;/PjfVh3dsL/n799az6YLtQIR6Rb/xU/3p9Hwltan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dW3wC5AAAA2wAA&#10;AA8AAAAAAAAAAQAgAAAAIgAAAGRycy9kb3ducmV2LnhtbFBLAQIUABQAAAAIAIdO4kAzLwWeOwAA&#10;ADkAAAAQAAAAAAAAAAEAIAAAAAgBAABkcnMvc2hhcGV4bWwueG1sUEsFBgAAAAAGAAYAWwEAALID&#10;AAAAAA==&#10;">
                  <v:fill on="t" focussize="0,0"/>
                  <v:stroke weight="2pt" color="#B0761F" joinstyle="round"/>
                  <v:imagedata o:title=""/>
                  <o:lock v:ext="edit" aspectratio="f"/>
                  <v:textbox>
                    <w:txbxContent>
                      <w:p w14:paraId="21367248">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名词解释</w:t>
                        </w:r>
                      </w:p>
                      <w:p w14:paraId="28F2C3F7">
                        <w:pPr>
                          <w:jc w:val="center"/>
                        </w:pPr>
                      </w:p>
                    </w:txbxContent>
                  </v:textbox>
                </v:rect>
                <w10:anchorlock/>
              </v:group>
            </w:pict>
          </mc:Fallback>
        </mc:AlternateContent>
      </w:r>
      <w:r>
        <w:rPr>
          <w:rFonts w:hint="eastAsia" w:ascii="仿宋_GB2312" w:hAnsi="宋体" w:eastAsia="仿宋_GB2312" w:cs="仿宋_GB2312"/>
          <w:color w:val="000000"/>
          <w:kern w:val="0"/>
          <w:sz w:val="32"/>
          <w:szCs w:val="32"/>
        </w:rPr>
        <w:t>待费反映单位按规定开支的各类公务接待（含外宾接待）支出。</w:t>
      </w:r>
    </w:p>
    <w:p w14:paraId="344599F6">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（十三）其</w:t>
      </w:r>
      <w:r>
        <mc:AlternateContent>
          <mc:Choice Requires="wpg">
            <w:drawing>
              <wp:anchor distT="0" distB="0" distL="114300" distR="114300" simplePos="0" relativeHeight="251680768"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44" name="组合 50"/>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42" name="矩形 13"/>
                        <wps:cNvSpPr/>
                        <wps:spPr>
                          <a:xfrm>
                            <a:off x="4551" y="52615"/>
                            <a:ext cx="8546" cy="1175"/>
                          </a:xfrm>
                          <a:prstGeom prst="rect">
                            <a:avLst/>
                          </a:prstGeom>
                          <a:solidFill>
                            <a:srgbClr val="D9D9D9"/>
                          </a:solidFill>
                          <a:ln w="25400">
                            <a:noFill/>
                          </a:ln>
                        </wps:spPr>
                        <wps:bodyPr anchor="ctr" upright="1"/>
                      </wps:wsp>
                      <wps:wsp>
                        <wps:cNvPr id="43" name="矩形 14"/>
                        <wps:cNvSpPr/>
                        <wps:spPr>
                          <a:xfrm>
                            <a:off x="4577" y="52890"/>
                            <a:ext cx="8324" cy="1123"/>
                          </a:xfrm>
                          <a:prstGeom prst="rect">
                            <a:avLst/>
                          </a:prstGeom>
                          <a:solidFill>
                            <a:srgbClr val="AD002D"/>
                          </a:solidFill>
                          <a:ln w="25400" cap="flat" cmpd="sng">
                            <a:solidFill>
                              <a:srgbClr val="B0761F"/>
                            </a:solidFill>
                            <a:prstDash val="solid"/>
                            <a:round/>
                            <a:headEnd type="none" w="med" len="med"/>
                            <a:tailEnd type="none" w="med" len="med"/>
                          </a:ln>
                        </wps:spPr>
                        <wps:txbx>
                          <w:txbxContent>
                            <w:p w14:paraId="42BF45EC">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名词解释</w:t>
                              </w:r>
                            </w:p>
                            <w:p w14:paraId="112A1F16">
                              <w:pPr>
                                <w:jc w:val="center"/>
                              </w:pPr>
                            </w:p>
                          </w:txbxContent>
                        </wps:txbx>
                        <wps:bodyPr anchor="ctr" upright="1"/>
                      </wps:wsp>
                    </wpg:wgp>
                  </a:graphicData>
                </a:graphic>
              </wp:anchor>
            </w:drawing>
          </mc:Choice>
          <mc:Fallback>
            <w:pict>
              <v:group id="组合 50" o:spid="_x0000_s1026" o:spt="203" style="position:absolute;left:0pt;margin-left:-81.05pt;margin-top:39.65pt;height:43.95pt;width:264.85pt;mso-position-vertical-relative:page;z-index:251680768;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">
                <o:lock v:ext="edit" aspectratio="f"/>
                <v:rect id="矩形 13" o:spid="_x0000_s1026" o:spt="1" style="position:absolute;left:4551;top:52615;height:1175;width:8546;v-text-anchor:middle;" fillcolor="#D9D9D9" filled="t" stroked="f" coordsize="21600,21600" o:gfxdata="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WGg2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h4RBd7sAAADb&#10;AAAADwAAAGRycy9kb3ducmV2LnhtbEWPS4sCMRCE78L+h9ALe9PEddF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4RBd7sAAADb&#10;AAAADwAAAAAAAAABACAAAAAiAAAAZHJzL2Rvd25yZXYueG1sUEsBAhQAFAAAAAgAh07iQDMvBZ47&#10;AAAAOQAAABAAAAAAAAAAAQAgAAAACgEAAGRycy9zaGFwZXhtbC54bWxQSwUGAAAAAAYABgBbAQAA&#10;tAMAAAAA&#10;">
                  <v:fill on="t" focussize="0,0"/>
                  <v:stroke weight="2pt" color="#B0761F" joinstyle="round"/>
                  <v:imagedata o:title=""/>
                  <o:lock v:ext="edit" aspectratio="f"/>
                  <v:textbox>
                    <w:txbxContent>
                      <w:p w14:paraId="42BF45EC">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名词解释</w:t>
                        </w:r>
                      </w:p>
                      <w:p w14:paraId="112A1F16">
                        <w:pPr>
                          <w:jc w:val="center"/>
                        </w:pPr>
                      </w:p>
                    </w:txbxContent>
                  </v:textbox>
                </v:rect>
                <w10:anchorlock/>
              </v:group>
            </w:pict>
          </mc:Fallback>
        </mc:AlternateContent>
      </w:r>
      <w:r>
        <w:rPr>
          <w:rFonts w:hint="eastAsia" w:ascii="仿宋_GB2312" w:hAnsi="宋体" w:eastAsia="仿宋_GB2312" w:cs="仿宋_GB2312"/>
          <w:b/>
          <w:bCs/>
          <w:color w:val="000000"/>
          <w:kern w:val="0"/>
          <w:sz w:val="32"/>
          <w:szCs w:val="32"/>
        </w:rPr>
        <w:t>他交通费用：</w:t>
      </w:r>
      <w:r>
        <w:rPr>
          <w:rFonts w:hint="eastAsia" w:ascii="仿宋_GB2312" w:hAnsi="宋体" w:eastAsia="仿宋_GB2312" w:cs="仿宋_GB2312"/>
          <w:color w:val="000000"/>
          <w:kern w:val="0"/>
          <w:sz w:val="32"/>
          <w:szCs w:val="32"/>
        </w:rPr>
        <w:t>填列单位除公务用车运行维护费以外的其他交通费用。如公务交通补贴、租车费用、出租车费用、飞机、船舶等的燃料费、维修费、保险费等。</w:t>
      </w:r>
    </w:p>
    <w:p w14:paraId="62E55587">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（十四）公务用车购置：</w:t>
      </w:r>
      <w:r>
        <w:rPr>
          <w:rFonts w:hint="eastAsia" w:ascii="仿宋_GB2312" w:hAnsi="宋体" w:eastAsia="仿宋_GB2312" w:cs="仿宋_GB2312"/>
          <w:color w:val="000000"/>
          <w:kern w:val="0"/>
          <w:sz w:val="32"/>
          <w:szCs w:val="32"/>
        </w:rPr>
        <w:t>填列单位公务用车购置支出（含车辆购置税、牌照费）。</w:t>
      </w:r>
    </w:p>
    <w:p w14:paraId="454A5E71">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（十五）其他交通工具购置：</w:t>
      </w:r>
      <w:r>
        <w:rPr>
          <w:rFonts w:hint="eastAsia" w:ascii="仿宋_GB2312" w:hAnsi="宋体" w:eastAsia="仿宋_GB2312" w:cs="仿宋_GB2312"/>
          <w:color w:val="000000"/>
          <w:kern w:val="0"/>
          <w:sz w:val="32"/>
          <w:szCs w:val="32"/>
        </w:rPr>
        <w:t>填列单位除公务用车外的其他各类交通工具（如船舶、飞机）购置支出（含车辆购置税、牌照费）。</w:t>
      </w:r>
    </w:p>
    <w:p w14:paraId="1B3F81BA">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（十六）机关运行经费：</w:t>
      </w:r>
      <w:r>
        <w:rPr>
          <w:rFonts w:hint="eastAsia" w:ascii="仿宋_GB2312" w:hAnsi="宋体" w:eastAsia="仿宋_GB2312" w:cs="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0A3D2519">
      <w:pPr>
        <w:widowControl/>
        <w:spacing w:after="0" w:line="560" w:lineRule="exact"/>
        <w:ind w:firstLine="643" w:firstLineChars="200"/>
        <w:rPr>
          <w:rFonts w:ascii="仿宋_GB2312" w:hAnsi="Cambria" w:eastAsia="仿宋_GB2312"/>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hAnsi="宋体" w:eastAsia="仿宋_GB2312" w:cs="仿宋_GB2312"/>
          <w:b/>
          <w:bCs/>
          <w:color w:val="000000"/>
          <w:kern w:val="0"/>
          <w:sz w:val="32"/>
          <w:szCs w:val="32"/>
        </w:rPr>
        <w:t>（十七）经费形式</w:t>
      </w:r>
      <w:r>
        <w:rPr>
          <w:rFonts w:ascii="仿宋_GB2312" w:hAnsi="宋体" w:eastAsia="仿宋_GB2312" w:cs="仿宋_GB2312"/>
          <w:b/>
          <w:bCs/>
          <w:color w:val="000000"/>
          <w:kern w:val="0"/>
          <w:sz w:val="32"/>
          <w:szCs w:val="32"/>
        </w:rPr>
        <w:t>:</w:t>
      </w:r>
      <w:r>
        <w:rPr>
          <w:rFonts w:hint="eastAsia" w:ascii="仿宋_GB2312" w:hAnsi="宋体" w:eastAsia="仿宋_GB2312" w:cs="仿宋_GB2312"/>
          <w:color w:val="000000"/>
          <w:kern w:val="0"/>
          <w:sz w:val="32"/>
          <w:szCs w:val="32"/>
        </w:rPr>
        <w:t>按照经费来源，</w:t>
      </w:r>
      <w:r>
        <w:rPr>
          <w:rFonts w:hint="eastAsia" w:ascii="仿宋_GB2312" w:hAnsi="Cambria" w:eastAsia="仿宋_GB2312" w:cs="仿宋_GB2312"/>
          <w:kern w:val="0"/>
          <w:sz w:val="32"/>
          <w:szCs w:val="32"/>
        </w:rPr>
        <w:t>可分为财政拨款、财政性资金基本保证、财政性资金定额或定项补助、财政性资金零补助四类。</w:t>
      </w:r>
    </w:p>
    <w:p w14:paraId="1FE0528C">
      <w:pPr>
        <w:widowControl/>
        <w:spacing w:after="0" w:line="560" w:lineRule="exact"/>
        <w:ind w:firstLine="420" w:firstLineChars="200"/>
        <w:rPr>
          <w:rFonts w:ascii="仿宋_GB2312" w:hAnsi="Cambria" w:eastAsia="仿宋_GB2312"/>
          <w:kern w:val="0"/>
          <w:sz w:val="32"/>
          <w:szCs w:val="32"/>
        </w:rPr>
      </w:pPr>
      <w:r>
        <w:drawing>
          <wp:anchor distT="0" distB="0" distL="114300" distR="114300" simplePos="0" relativeHeight="251669504" behindDoc="1" locked="1"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3"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01" descr="3"/>
                    <pic:cNvPicPr>
                      <a:picLocks noChangeAspect="1"/>
                    </pic:cNvPicPr>
                  </pic:nvPicPr>
                  <pic:blipFill>
                    <a:blip r:embed="rId12"/>
                    <a:stretch>
                      <a:fillRect/>
                    </a:stretch>
                  </pic:blipFill>
                  <pic:spPr>
                    <a:xfrm>
                      <a:off x="0" y="0"/>
                      <a:ext cx="7590155" cy="10735945"/>
                    </a:xfrm>
                    <a:prstGeom prst="rect">
                      <a:avLst/>
                    </a:prstGeom>
                    <a:noFill/>
                    <a:ln>
                      <a:noFill/>
                    </a:ln>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embedRegular r:id="rId1" w:fontKey="{347C7321-2429-47DB-BE08-D0AC392C889B}"/>
  </w:font>
  <w:font w:name="宋体">
    <w:panose1 w:val="02010600030101010101"/>
    <w:charset w:val="86"/>
    <w:family w:val="auto"/>
    <w:pitch w:val="default"/>
    <w:sig w:usb0="00000203" w:usb1="288F0000" w:usb2="00000006" w:usb3="00000000" w:csb0="00040001" w:csb1="00000000"/>
    <w:embedRegular r:id="rId2" w:fontKey="{F9350C16-5E34-40E5-9202-FAC983491667}"/>
  </w:font>
  <w:font w:name="Wingdings">
    <w:panose1 w:val="05000000000000000000"/>
    <w:charset w:val="02"/>
    <w:family w:val="auto"/>
    <w:pitch w:val="default"/>
    <w:sig w:usb0="00000000" w:usb1="00000000" w:usb2="00000000" w:usb3="00000000" w:csb0="80000000" w:csb1="00000000"/>
    <w:embedRegular r:id="rId3" w:fontKey="{39765B98-70B3-4C96-9C9B-87176998C09C}"/>
  </w:font>
  <w:font w:name="Arial">
    <w:panose1 w:val="020B0604020202020204"/>
    <w:charset w:val="01"/>
    <w:family w:val="swiss"/>
    <w:pitch w:val="default"/>
    <w:sig w:usb0="E0002EFF" w:usb1="C000785B" w:usb2="00000009" w:usb3="00000000" w:csb0="400001FF" w:csb1="FFFF0000"/>
    <w:embedRegular r:id="rId4" w:fontKey="{C8838DF9-E774-4992-B068-D4ABF5FF4A32}"/>
  </w:font>
  <w:font w:name="黑体">
    <w:panose1 w:val="02010609060101010101"/>
    <w:charset w:val="86"/>
    <w:family w:val="auto"/>
    <w:pitch w:val="default"/>
    <w:sig w:usb0="800002BF" w:usb1="38CF7CFA" w:usb2="00000016" w:usb3="00000000" w:csb0="00040001" w:csb1="00000000"/>
    <w:embedRegular r:id="rId5" w:fontKey="{3D586D08-3C38-4CAB-806F-190D4990591B}"/>
  </w:font>
  <w:font w:name="Courier New">
    <w:panose1 w:val="02070309020205020404"/>
    <w:charset w:val="01"/>
    <w:family w:val="modern"/>
    <w:pitch w:val="default"/>
    <w:sig w:usb0="E0002EFF" w:usb1="C0007843" w:usb2="00000009" w:usb3="00000000" w:csb0="400001FF" w:csb1="FFFF0000"/>
    <w:embedRegular r:id="rId6" w:fontKey="{4E93B614-F159-49C0-9A4C-FC39FACEB2A8}"/>
  </w:font>
  <w:font w:name="Symbol">
    <w:panose1 w:val="05050102010706020507"/>
    <w:charset w:val="02"/>
    <w:family w:val="roman"/>
    <w:pitch w:val="default"/>
    <w:sig w:usb0="00000000" w:usb1="00000000" w:usb2="00000000" w:usb3="00000000" w:csb0="80000000" w:csb1="00000000"/>
    <w:embedRegular r:id="rId7" w:fontKey="{B9C9C12B-E699-4894-B3B7-3FB08FAFA901}"/>
  </w:font>
  <w:font w:name="Calibri">
    <w:panose1 w:val="020F0502020204030204"/>
    <w:charset w:val="00"/>
    <w:family w:val="swiss"/>
    <w:pitch w:val="default"/>
    <w:sig w:usb0="E4002EFF" w:usb1="C200247B" w:usb2="00000009" w:usb3="00000000" w:csb0="200001FF" w:csb1="00000000"/>
    <w:embedRegular r:id="rId8" w:fontKey="{98F1CA30-812E-4455-80DC-D1C3AB7BE924}"/>
  </w:font>
  <w:font w:name="Cambria">
    <w:panose1 w:val="02040503050406030204"/>
    <w:charset w:val="00"/>
    <w:family w:val="roman"/>
    <w:pitch w:val="default"/>
    <w:sig w:usb0="E00006FF" w:usb1="420024FF" w:usb2="02000000" w:usb3="00000000" w:csb0="2000019F" w:csb1="00000000"/>
    <w:embedRegular r:id="rId9" w:fontKey="{EC465618-D888-4DCA-B3FE-8AEB72D1F9BE}"/>
  </w:font>
  <w:font w:name="楷体">
    <w:panose1 w:val="02010609060101010101"/>
    <w:charset w:val="86"/>
    <w:family w:val="modern"/>
    <w:pitch w:val="default"/>
    <w:sig w:usb0="800002BF" w:usb1="38CF7CFA" w:usb2="00000016" w:usb3="00000000" w:csb0="00040001" w:csb1="00000000"/>
    <w:embedRegular r:id="rId10" w:fontKey="{B00ECAB2-B720-4E4D-8524-87343505DCDF}"/>
  </w:font>
  <w:font w:name="楷体_GB2312">
    <w:panose1 w:val="02010609030101010101"/>
    <w:charset w:val="86"/>
    <w:family w:val="modern"/>
    <w:pitch w:val="default"/>
    <w:sig w:usb0="00000001" w:usb1="080E0000" w:usb2="00000000" w:usb3="00000000" w:csb0="00040000" w:csb1="00000000"/>
    <w:embedRegular r:id="rId11" w:fontKey="{D7E18D60-5358-473F-8327-C71338F3224B}"/>
  </w:font>
  <w:font w:name="MS Gothic">
    <w:panose1 w:val="020B0609070205080204"/>
    <w:charset w:val="80"/>
    <w:family w:val="modern"/>
    <w:pitch w:val="default"/>
    <w:sig w:usb0="E00002FF" w:usb1="6AC7FDFB" w:usb2="08000012" w:usb3="00000000" w:csb0="4002009F" w:csb1="DFD70000"/>
    <w:embedRegular r:id="rId12" w:fontKey="{536E9578-EBC8-4FFD-A2A4-E6E97AA60956}"/>
  </w:font>
  <w:font w:name="仿宋_GB2312">
    <w:panose1 w:val="02010609030101010101"/>
    <w:charset w:val="86"/>
    <w:family w:val="modern"/>
    <w:pitch w:val="default"/>
    <w:sig w:usb0="00000001" w:usb1="080E0000" w:usb2="00000000" w:usb3="00000000" w:csb0="00040000" w:csb1="00000000"/>
    <w:embedRegular r:id="rId13" w:fontKey="{321EE8C1-420C-4085-B15C-F0A9F233503E}"/>
  </w:font>
  <w:font w:name="新宋体">
    <w:panose1 w:val="02010609030101010101"/>
    <w:charset w:val="86"/>
    <w:family w:val="modern"/>
    <w:pitch w:val="default"/>
    <w:sig w:usb0="00000203" w:usb1="288F0000" w:usb2="00000006" w:usb3="00000000" w:csb0="00040001" w:csb1="00000000"/>
    <w:embedRegular r:id="rId14" w:fontKey="{34CB8643-BBFE-43B1-8991-32E6424938B5}"/>
  </w:font>
  <w:font w:name="ArialUnicodeMS">
    <w:altName w:val="Malgun Gothic"/>
    <w:panose1 w:val="00000000000000000000"/>
    <w:charset w:val="81"/>
    <w:family w:val="auto"/>
    <w:pitch w:val="default"/>
    <w:sig w:usb0="00000000" w:usb1="00000000" w:usb2="00000010" w:usb3="00000000" w:csb0="00080001" w:csb1="00000000"/>
    <w:embedRegular r:id="rId15" w:fontKey="{7539E5CB-8DEB-49A5-98E0-74313716F477}"/>
  </w:font>
  <w:font w:name="仿宋">
    <w:panose1 w:val="02010609060101010101"/>
    <w:charset w:val="86"/>
    <w:family w:val="modern"/>
    <w:pitch w:val="default"/>
    <w:sig w:usb0="800002BF" w:usb1="38CF7CFA" w:usb2="00000016" w:usb3="00000000" w:csb0="00040001" w:csb1="00000000"/>
    <w:embedRegular r:id="rId16" w:fontKey="{BD5D9F17-3859-49F6-B303-5ABD23E1B5F6}"/>
  </w:font>
  <w:font w:name="DengXian-Regular">
    <w:altName w:val="宋体"/>
    <w:panose1 w:val="00000000000000000000"/>
    <w:charset w:val="86"/>
    <w:family w:val="auto"/>
    <w:pitch w:val="default"/>
    <w:sig w:usb0="00000000" w:usb1="00000000" w:usb2="00000010" w:usb3="00000000" w:csb0="00040001" w:csb1="00000000"/>
    <w:embedRegular r:id="rId17" w:fontKey="{F506C4A6-9483-4356-B4A7-C2F71ADA5E68}"/>
  </w:font>
  <w:font w:name="DengXian-Bold">
    <w:altName w:val="宋体"/>
    <w:panose1 w:val="00000000000000000000"/>
    <w:charset w:val="86"/>
    <w:family w:val="auto"/>
    <w:pitch w:val="default"/>
    <w:sig w:usb0="00000000" w:usb1="00000000" w:usb2="00000010" w:usb3="00000000" w:csb0="00040001" w:csb1="00000000"/>
    <w:embedRegular r:id="rId18" w:fontKey="{A578D11D-9C7A-4A1C-8143-A9788B3FDC57}"/>
  </w:font>
  <w:font w:name="TimesNewRomanPSMT">
    <w:altName w:val="Arial"/>
    <w:panose1 w:val="00000000000000000000"/>
    <w:charset w:val="00"/>
    <w:family w:val="swiss"/>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embedRegular r:id="rId19" w:fontKey="{92BEC84D-15AE-4D81-8729-3E6E0713E091}"/>
  </w:font>
  <w:font w:name="Malgun Gothic">
    <w:panose1 w:val="020B0503020000020004"/>
    <w:charset w:val="81"/>
    <w:family w:val="auto"/>
    <w:pitch w:val="default"/>
    <w:sig w:usb0="9000002F" w:usb1="29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B7D47E3"/>
    <w:multiLevelType w:val="singleLevel"/>
    <w:tmpl w:val="3B7D47E3"/>
    <w:lvl w:ilvl="0" w:tentative="0">
      <w:start w:val="2"/>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embedSystemFonts/>
  <w:bordersDoNotSurroundHeader w:val="1"/>
  <w:bordersDoNotSurroundFooter w:val="1"/>
  <w:documentProtection w:enforcement="0"/>
  <w:defaultTabStop w:val="420"/>
  <w:doNotHyphenateCaps/>
  <w:drawingGridHorizontalSpacing w:val="105"/>
  <w:drawingGridVerticalSpacing w:val="156"/>
  <w:noPunctuationKerning w:val="1"/>
  <w:characterSpacingControl w:val="compressPunctuation"/>
  <w:noLineBreaksAfter w:lang="zh-CN" w:val="$([{£¥·‘“〈《「『【〔〖〝﹙﹛﹝＄（．［｛￡￥"/>
  <w:noLineBreaksBefore w:lang="zh-CN" w:val="!%),.:;&gt;?]}¢¨°·ˇˉ―‖’”…‰′″›℃∶、。〃〉》」』】〕〗〞︶︺︾﹀﹄﹚﹜﹞！＂％＇），．：；？］｀｜｝～￠"/>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ljY2VjN2U1OWE0ZGJhYjM0MDliMTU2Y2E0Mzc2NDgifQ=="/>
  </w:docVars>
  <w:rsids>
    <w:rsidRoot w:val="003C1413"/>
    <w:rsid w:val="00024E7F"/>
    <w:rsid w:val="000475A0"/>
    <w:rsid w:val="000838C3"/>
    <w:rsid w:val="000B2446"/>
    <w:rsid w:val="000C743B"/>
    <w:rsid w:val="000D7C65"/>
    <w:rsid w:val="000E2F81"/>
    <w:rsid w:val="00117946"/>
    <w:rsid w:val="00117E2C"/>
    <w:rsid w:val="00146C47"/>
    <w:rsid w:val="00152FB8"/>
    <w:rsid w:val="00176658"/>
    <w:rsid w:val="0018239E"/>
    <w:rsid w:val="001A174C"/>
    <w:rsid w:val="001B3410"/>
    <w:rsid w:val="001C030D"/>
    <w:rsid w:val="001C4A84"/>
    <w:rsid w:val="001E5902"/>
    <w:rsid w:val="002223C6"/>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26469"/>
    <w:rsid w:val="00431175"/>
    <w:rsid w:val="00456C73"/>
    <w:rsid w:val="004B6E37"/>
    <w:rsid w:val="004C32BA"/>
    <w:rsid w:val="00545EB9"/>
    <w:rsid w:val="00575922"/>
    <w:rsid w:val="005837C6"/>
    <w:rsid w:val="005A6C90"/>
    <w:rsid w:val="005E3FB0"/>
    <w:rsid w:val="005F4B66"/>
    <w:rsid w:val="005F5208"/>
    <w:rsid w:val="00641318"/>
    <w:rsid w:val="0064405D"/>
    <w:rsid w:val="00685302"/>
    <w:rsid w:val="00695557"/>
    <w:rsid w:val="006D4EA7"/>
    <w:rsid w:val="0070012A"/>
    <w:rsid w:val="0070664B"/>
    <w:rsid w:val="007071B8"/>
    <w:rsid w:val="007414DE"/>
    <w:rsid w:val="007905A9"/>
    <w:rsid w:val="007E5500"/>
    <w:rsid w:val="007F055B"/>
    <w:rsid w:val="0080644C"/>
    <w:rsid w:val="00811C2F"/>
    <w:rsid w:val="00833D46"/>
    <w:rsid w:val="00840A97"/>
    <w:rsid w:val="008C0149"/>
    <w:rsid w:val="008D440D"/>
    <w:rsid w:val="008D5DED"/>
    <w:rsid w:val="008E25CA"/>
    <w:rsid w:val="008F34FC"/>
    <w:rsid w:val="00944CD7"/>
    <w:rsid w:val="009831B2"/>
    <w:rsid w:val="009A1ABE"/>
    <w:rsid w:val="009E21A4"/>
    <w:rsid w:val="009F22C6"/>
    <w:rsid w:val="00A07E50"/>
    <w:rsid w:val="00A15397"/>
    <w:rsid w:val="00A25653"/>
    <w:rsid w:val="00A35CE0"/>
    <w:rsid w:val="00A4462E"/>
    <w:rsid w:val="00A44AA4"/>
    <w:rsid w:val="00A55467"/>
    <w:rsid w:val="00A61623"/>
    <w:rsid w:val="00A84049"/>
    <w:rsid w:val="00A84687"/>
    <w:rsid w:val="00AB0A0E"/>
    <w:rsid w:val="00AB234F"/>
    <w:rsid w:val="00AD3B6E"/>
    <w:rsid w:val="00B05BA6"/>
    <w:rsid w:val="00B1751F"/>
    <w:rsid w:val="00B56722"/>
    <w:rsid w:val="00B74D39"/>
    <w:rsid w:val="00B91DA4"/>
    <w:rsid w:val="00C12630"/>
    <w:rsid w:val="00C34562"/>
    <w:rsid w:val="00C3774E"/>
    <w:rsid w:val="00C57456"/>
    <w:rsid w:val="00C65387"/>
    <w:rsid w:val="00C87FAB"/>
    <w:rsid w:val="00C91FF7"/>
    <w:rsid w:val="00C94E53"/>
    <w:rsid w:val="00D0048E"/>
    <w:rsid w:val="00D21CED"/>
    <w:rsid w:val="00D23E7A"/>
    <w:rsid w:val="00D61063"/>
    <w:rsid w:val="00DB35AF"/>
    <w:rsid w:val="00DB3AFA"/>
    <w:rsid w:val="00DD72D7"/>
    <w:rsid w:val="00DF5B88"/>
    <w:rsid w:val="00E0589E"/>
    <w:rsid w:val="00E241FA"/>
    <w:rsid w:val="00E2595E"/>
    <w:rsid w:val="00E35374"/>
    <w:rsid w:val="00E50C19"/>
    <w:rsid w:val="00E64655"/>
    <w:rsid w:val="00E73081"/>
    <w:rsid w:val="00E856C9"/>
    <w:rsid w:val="00EB23BF"/>
    <w:rsid w:val="00EB6A8B"/>
    <w:rsid w:val="00EE067B"/>
    <w:rsid w:val="00EF38C6"/>
    <w:rsid w:val="00F679C7"/>
    <w:rsid w:val="00F747D9"/>
    <w:rsid w:val="00F7711A"/>
    <w:rsid w:val="00FA0D58"/>
    <w:rsid w:val="00FA56F4"/>
    <w:rsid w:val="00FB4EDA"/>
    <w:rsid w:val="00FD3BD5"/>
    <w:rsid w:val="00FE3DC8"/>
    <w:rsid w:val="04073F84"/>
    <w:rsid w:val="097A3E19"/>
    <w:rsid w:val="0B60750A"/>
    <w:rsid w:val="10686488"/>
    <w:rsid w:val="10DF728A"/>
    <w:rsid w:val="1264200E"/>
    <w:rsid w:val="141C5B77"/>
    <w:rsid w:val="18D8339D"/>
    <w:rsid w:val="1A21388F"/>
    <w:rsid w:val="1A570D2F"/>
    <w:rsid w:val="1C9F1EBE"/>
    <w:rsid w:val="21457279"/>
    <w:rsid w:val="28FB0B8D"/>
    <w:rsid w:val="2A9870FC"/>
    <w:rsid w:val="2D2B7942"/>
    <w:rsid w:val="2D46481D"/>
    <w:rsid w:val="2E733B28"/>
    <w:rsid w:val="31852B5A"/>
    <w:rsid w:val="32D01238"/>
    <w:rsid w:val="371E7C15"/>
    <w:rsid w:val="3DFC59A8"/>
    <w:rsid w:val="3ECF245E"/>
    <w:rsid w:val="3FB96314"/>
    <w:rsid w:val="48794674"/>
    <w:rsid w:val="51C801E6"/>
    <w:rsid w:val="53A44FAF"/>
    <w:rsid w:val="566B009D"/>
    <w:rsid w:val="594329EC"/>
    <w:rsid w:val="5BEE1540"/>
    <w:rsid w:val="5DE61A5D"/>
    <w:rsid w:val="63C04243"/>
    <w:rsid w:val="649C01C7"/>
    <w:rsid w:val="671C5C84"/>
    <w:rsid w:val="699A3F60"/>
    <w:rsid w:val="72902E62"/>
    <w:rsid w:val="73C61104"/>
    <w:rsid w:val="776452EA"/>
    <w:rsid w:val="7DC663B9"/>
    <w:rsid w:val="7FD21032"/>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99" w:semiHidden="0" w:name="Title"/>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99" w:semiHidden="0" w:name="Subtitle"/>
    <w:lsdException w:uiPriority="99" w:name="Salutation"/>
    <w:lsdException w:qFormat="1" w:unhideWhenUsed="0"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99" w:semiHidden="0" w:name="Table Grid"/>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1"/>
      <w:lang w:val="en-US" w:eastAsia="zh-CN" w:bidi="ar-SA"/>
    </w:rPr>
  </w:style>
  <w:style w:type="paragraph" w:styleId="2">
    <w:name w:val="heading 1"/>
    <w:basedOn w:val="1"/>
    <w:next w:val="1"/>
    <w:link w:val="16"/>
    <w:qFormat/>
    <w:uiPriority w:val="99"/>
    <w:pPr>
      <w:keepNext/>
      <w:keepLines/>
      <w:spacing w:before="340" w:after="330" w:line="578" w:lineRule="auto"/>
      <w:outlineLvl w:val="0"/>
    </w:pPr>
    <w:rPr>
      <w:b/>
      <w:bCs/>
      <w:kern w:val="44"/>
      <w:sz w:val="44"/>
      <w:szCs w:val="44"/>
    </w:rPr>
  </w:style>
  <w:style w:type="paragraph" w:styleId="3">
    <w:name w:val="heading 2"/>
    <w:basedOn w:val="1"/>
    <w:next w:val="1"/>
    <w:link w:val="17"/>
    <w:qFormat/>
    <w:uiPriority w:val="99"/>
    <w:pPr>
      <w:keepNext/>
      <w:keepLines/>
      <w:spacing w:before="260" w:after="260" w:line="416" w:lineRule="auto"/>
      <w:outlineLvl w:val="1"/>
    </w:pPr>
    <w:rPr>
      <w:rFonts w:ascii="Calibri" w:hAnsi="Calibri" w:cs="Calibri"/>
      <w:b/>
      <w:bCs/>
      <w:sz w:val="32"/>
      <w:szCs w:val="32"/>
    </w:rPr>
  </w:style>
  <w:style w:type="paragraph" w:styleId="4">
    <w:name w:val="heading 3"/>
    <w:basedOn w:val="1"/>
    <w:next w:val="1"/>
    <w:link w:val="18"/>
    <w:qFormat/>
    <w:uiPriority w:val="99"/>
    <w:pPr>
      <w:keepNext/>
      <w:keepLines/>
      <w:spacing w:before="260" w:after="260" w:line="416" w:lineRule="auto"/>
      <w:outlineLvl w:val="2"/>
    </w:pPr>
    <w:rPr>
      <w:b/>
      <w:bCs/>
      <w:sz w:val="32"/>
      <w:szCs w:val="32"/>
    </w:rPr>
  </w:style>
  <w:style w:type="paragraph" w:styleId="5">
    <w:name w:val="heading 4"/>
    <w:basedOn w:val="1"/>
    <w:next w:val="1"/>
    <w:link w:val="19"/>
    <w:qFormat/>
    <w:uiPriority w:val="99"/>
    <w:pPr>
      <w:keepNext/>
      <w:keepLines/>
      <w:spacing w:before="280" w:after="290" w:line="376" w:lineRule="auto"/>
      <w:outlineLvl w:val="3"/>
    </w:pPr>
    <w:rPr>
      <w:rFonts w:ascii="Calibri" w:hAnsi="Calibri" w:cs="Calibri"/>
      <w:b/>
      <w:bCs/>
      <w:sz w:val="28"/>
      <w:szCs w:val="28"/>
    </w:rPr>
  </w:style>
  <w:style w:type="character" w:default="1" w:styleId="15">
    <w:name w:val="Default Paragraph Font"/>
    <w:semiHidden/>
    <w:qFormat/>
    <w:uiPriority w:val="99"/>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20"/>
    <w:semiHidden/>
    <w:qFormat/>
    <w:uiPriority w:val="99"/>
    <w:pPr>
      <w:ind w:left="100" w:leftChars="2500"/>
    </w:pPr>
  </w:style>
  <w:style w:type="paragraph" w:styleId="7">
    <w:name w:val="Balloon Text"/>
    <w:basedOn w:val="1"/>
    <w:link w:val="21"/>
    <w:semiHidden/>
    <w:qFormat/>
    <w:uiPriority w:val="99"/>
    <w:rPr>
      <w:sz w:val="18"/>
      <w:szCs w:val="18"/>
    </w:rPr>
  </w:style>
  <w:style w:type="paragraph" w:styleId="8">
    <w:name w:val="footer"/>
    <w:basedOn w:val="1"/>
    <w:link w:val="22"/>
    <w:qFormat/>
    <w:uiPriority w:val="99"/>
    <w:pPr>
      <w:tabs>
        <w:tab w:val="center" w:pos="4153"/>
        <w:tab w:val="right" w:pos="8306"/>
      </w:tabs>
      <w:snapToGrid w:val="0"/>
      <w:jc w:val="left"/>
    </w:pPr>
    <w:rPr>
      <w:rFonts w:ascii="Cambria" w:hAnsi="Cambria" w:eastAsia="黑体" w:cs="Cambria"/>
      <w:sz w:val="18"/>
      <w:szCs w:val="18"/>
    </w:rPr>
  </w:style>
  <w:style w:type="paragraph" w:styleId="9">
    <w:name w:val="header"/>
    <w:basedOn w:val="1"/>
    <w:link w:val="23"/>
    <w:qFormat/>
    <w:uiPriority w:val="99"/>
    <w:pPr>
      <w:pBdr>
        <w:bottom w:val="single" w:color="auto" w:sz="6" w:space="1"/>
      </w:pBdr>
      <w:tabs>
        <w:tab w:val="center" w:pos="4153"/>
        <w:tab w:val="right" w:pos="8306"/>
      </w:tabs>
      <w:snapToGrid w:val="0"/>
      <w:jc w:val="center"/>
    </w:pPr>
    <w:rPr>
      <w:rFonts w:ascii="Cambria" w:hAnsi="Cambria" w:eastAsia="黑体" w:cs="Cambria"/>
      <w:sz w:val="18"/>
      <w:szCs w:val="18"/>
    </w:rPr>
  </w:style>
  <w:style w:type="paragraph" w:styleId="10">
    <w:name w:val="Subtitle"/>
    <w:basedOn w:val="1"/>
    <w:next w:val="1"/>
    <w:link w:val="24"/>
    <w:qFormat/>
    <w:uiPriority w:val="99"/>
    <w:pPr>
      <w:widowControl/>
      <w:spacing w:after="200" w:line="276" w:lineRule="auto"/>
      <w:jc w:val="left"/>
    </w:pPr>
    <w:rPr>
      <w:rFonts w:ascii="Calibri" w:hAnsi="Calibri" w:cs="Calibri"/>
      <w:i/>
      <w:iCs/>
      <w:color w:val="F0A22E"/>
      <w:spacing w:val="15"/>
      <w:kern w:val="0"/>
      <w:sz w:val="24"/>
      <w:szCs w:val="24"/>
    </w:rPr>
  </w:style>
  <w:style w:type="paragraph" w:styleId="11">
    <w:name w:val="Normal (Web)"/>
    <w:basedOn w:val="1"/>
    <w:qFormat/>
    <w:uiPriority w:val="0"/>
    <w:pPr>
      <w:widowControl/>
      <w:spacing w:after="0" w:line="240" w:lineRule="auto"/>
      <w:jc w:val="left"/>
    </w:pPr>
    <w:rPr>
      <w:rFonts w:ascii="宋体" w:hAnsi="宋体" w:cs="宋体"/>
      <w:kern w:val="0"/>
      <w:sz w:val="20"/>
      <w:szCs w:val="20"/>
    </w:rPr>
  </w:style>
  <w:style w:type="paragraph" w:styleId="12">
    <w:name w:val="Title"/>
    <w:basedOn w:val="1"/>
    <w:next w:val="1"/>
    <w:link w:val="25"/>
    <w:qFormat/>
    <w:uiPriority w:val="99"/>
    <w:pPr>
      <w:widowControl/>
      <w:pBdr>
        <w:bottom w:val="single" w:color="F0A22E" w:sz="8" w:space="4"/>
      </w:pBdr>
      <w:spacing w:after="300"/>
      <w:jc w:val="left"/>
    </w:pPr>
    <w:rPr>
      <w:rFonts w:ascii="Calibri" w:hAnsi="Calibri" w:cs="Calibri"/>
      <w:color w:val="3A2C24"/>
      <w:spacing w:val="5"/>
      <w:kern w:val="28"/>
      <w:sz w:val="52"/>
      <w:szCs w:val="52"/>
    </w:rPr>
  </w:style>
  <w:style w:type="table" w:styleId="14">
    <w:name w:val="Table Grid"/>
    <w:basedOn w:val="13"/>
    <w:qFormat/>
    <w:uiPriority w:val="99"/>
    <w:rPr>
      <w:rFonts w:cs="Cambria"/>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6">
    <w:name w:val="Heading 1 Char"/>
    <w:basedOn w:val="15"/>
    <w:link w:val="2"/>
    <w:qFormat/>
    <w:locked/>
    <w:uiPriority w:val="99"/>
    <w:rPr>
      <w:rFonts w:ascii="Times New Roman" w:hAnsi="Times New Roman" w:eastAsia="宋体" w:cs="Times New Roman"/>
      <w:b/>
      <w:bCs/>
      <w:kern w:val="44"/>
      <w:sz w:val="44"/>
      <w:szCs w:val="44"/>
    </w:rPr>
  </w:style>
  <w:style w:type="character" w:customStyle="1" w:styleId="17">
    <w:name w:val="Heading 2 Char"/>
    <w:basedOn w:val="15"/>
    <w:link w:val="3"/>
    <w:qFormat/>
    <w:locked/>
    <w:uiPriority w:val="99"/>
    <w:rPr>
      <w:rFonts w:ascii="Calibri" w:hAnsi="Calibri" w:eastAsia="宋体" w:cs="Calibri"/>
      <w:b/>
      <w:bCs/>
      <w:sz w:val="32"/>
      <w:szCs w:val="32"/>
    </w:rPr>
  </w:style>
  <w:style w:type="character" w:customStyle="1" w:styleId="18">
    <w:name w:val="Heading 3 Char"/>
    <w:basedOn w:val="15"/>
    <w:link w:val="4"/>
    <w:qFormat/>
    <w:locked/>
    <w:uiPriority w:val="99"/>
    <w:rPr>
      <w:rFonts w:ascii="Times New Roman" w:hAnsi="Times New Roman" w:eastAsia="宋体" w:cs="Times New Roman"/>
      <w:b/>
      <w:bCs/>
      <w:sz w:val="32"/>
      <w:szCs w:val="32"/>
    </w:rPr>
  </w:style>
  <w:style w:type="character" w:customStyle="1" w:styleId="19">
    <w:name w:val="Heading 4 Char"/>
    <w:basedOn w:val="15"/>
    <w:link w:val="5"/>
    <w:qFormat/>
    <w:locked/>
    <w:uiPriority w:val="99"/>
    <w:rPr>
      <w:rFonts w:ascii="Calibri" w:hAnsi="Calibri" w:eastAsia="宋体" w:cs="Calibri"/>
      <w:b/>
      <w:bCs/>
      <w:sz w:val="28"/>
      <w:szCs w:val="28"/>
    </w:rPr>
  </w:style>
  <w:style w:type="character" w:customStyle="1" w:styleId="20">
    <w:name w:val="Date Char"/>
    <w:basedOn w:val="15"/>
    <w:link w:val="6"/>
    <w:semiHidden/>
    <w:qFormat/>
    <w:locked/>
    <w:uiPriority w:val="99"/>
    <w:rPr>
      <w:rFonts w:ascii="Times New Roman" w:hAnsi="Times New Roman" w:eastAsia="宋体" w:cs="Times New Roman"/>
      <w:sz w:val="24"/>
      <w:szCs w:val="24"/>
    </w:rPr>
  </w:style>
  <w:style w:type="character" w:customStyle="1" w:styleId="21">
    <w:name w:val="Balloon Text Char"/>
    <w:basedOn w:val="15"/>
    <w:link w:val="7"/>
    <w:semiHidden/>
    <w:qFormat/>
    <w:locked/>
    <w:uiPriority w:val="99"/>
    <w:rPr>
      <w:rFonts w:ascii="Times New Roman" w:hAnsi="Times New Roman" w:eastAsia="宋体" w:cs="Times New Roman"/>
      <w:sz w:val="18"/>
      <w:szCs w:val="18"/>
    </w:rPr>
  </w:style>
  <w:style w:type="character" w:customStyle="1" w:styleId="22">
    <w:name w:val="Footer Char"/>
    <w:basedOn w:val="15"/>
    <w:link w:val="8"/>
    <w:qFormat/>
    <w:locked/>
    <w:uiPriority w:val="99"/>
    <w:rPr>
      <w:sz w:val="18"/>
      <w:szCs w:val="18"/>
    </w:rPr>
  </w:style>
  <w:style w:type="character" w:customStyle="1" w:styleId="23">
    <w:name w:val="Header Char"/>
    <w:basedOn w:val="15"/>
    <w:link w:val="9"/>
    <w:qFormat/>
    <w:locked/>
    <w:uiPriority w:val="99"/>
    <w:rPr>
      <w:sz w:val="18"/>
      <w:szCs w:val="18"/>
    </w:rPr>
  </w:style>
  <w:style w:type="character" w:customStyle="1" w:styleId="24">
    <w:name w:val="Subtitle Char"/>
    <w:basedOn w:val="15"/>
    <w:link w:val="10"/>
    <w:qFormat/>
    <w:locked/>
    <w:uiPriority w:val="99"/>
    <w:rPr>
      <w:rFonts w:ascii="Calibri" w:hAnsi="Calibri" w:eastAsia="宋体" w:cs="Calibri"/>
      <w:i/>
      <w:iCs/>
      <w:color w:val="F0A22E"/>
      <w:spacing w:val="15"/>
      <w:kern w:val="0"/>
      <w:sz w:val="24"/>
      <w:szCs w:val="24"/>
    </w:rPr>
  </w:style>
  <w:style w:type="character" w:customStyle="1" w:styleId="25">
    <w:name w:val="Title Char"/>
    <w:basedOn w:val="15"/>
    <w:link w:val="12"/>
    <w:qFormat/>
    <w:locked/>
    <w:uiPriority w:val="99"/>
    <w:rPr>
      <w:rFonts w:ascii="Calibri" w:hAnsi="Calibri" w:eastAsia="宋体" w:cs="Calibri"/>
      <w:color w:val="3A2C24"/>
      <w:spacing w:val="5"/>
      <w:kern w:val="28"/>
      <w:sz w:val="52"/>
      <w:szCs w:val="52"/>
    </w:rPr>
  </w:style>
  <w:style w:type="paragraph" w:styleId="26">
    <w:name w:val="No Spacing"/>
    <w:link w:val="27"/>
    <w:qFormat/>
    <w:uiPriority w:val="99"/>
    <w:pPr>
      <w:spacing w:after="160" w:line="480" w:lineRule="auto"/>
    </w:pPr>
    <w:rPr>
      <w:rFonts w:ascii="Cambria" w:hAnsi="Cambria" w:eastAsia="黑体" w:cs="Cambria"/>
      <w:kern w:val="0"/>
      <w:sz w:val="22"/>
      <w:szCs w:val="22"/>
      <w:lang w:val="en-US" w:eastAsia="zh-CN" w:bidi="ar-SA"/>
    </w:rPr>
  </w:style>
  <w:style w:type="character" w:customStyle="1" w:styleId="27">
    <w:name w:val="No Spacing Char"/>
    <w:basedOn w:val="15"/>
    <w:link w:val="26"/>
    <w:qFormat/>
    <w:locked/>
    <w:uiPriority w:val="99"/>
    <w:rPr>
      <w:sz w:val="22"/>
      <w:szCs w:val="22"/>
      <w:lang w:val="en-US" w:eastAsia="zh-CN"/>
    </w:rPr>
  </w:style>
  <w:style w:type="character" w:customStyle="1" w:styleId="28">
    <w:name w:val="Style1"/>
    <w:basedOn w:val="15"/>
    <w:qFormat/>
    <w:uiPriority w:val="99"/>
    <w:rPr>
      <w:rFonts w:ascii="Cambria" w:hAnsi="黑体" w:eastAsia="黑体" w:cs="Cambria"/>
      <w:sz w:val="22"/>
      <w:szCs w:val="22"/>
      <w:lang w:eastAsia="zh-CN"/>
    </w:rPr>
  </w:style>
  <w:style w:type="character" w:customStyle="1" w:styleId="29">
    <w:name w:val="Style2"/>
    <w:basedOn w:val="15"/>
    <w:qFormat/>
    <w:uiPriority w:val="99"/>
    <w:rPr>
      <w:rFonts w:ascii="Cambria" w:hAnsi="黑体" w:eastAsia="黑体" w:cs="Cambria"/>
      <w:sz w:val="22"/>
      <w:szCs w:val="22"/>
      <w:lang w:eastAsia="zh-CN"/>
    </w:rPr>
  </w:style>
  <w:style w:type="character" w:customStyle="1" w:styleId="30">
    <w:name w:val="Style3"/>
    <w:basedOn w:val="15"/>
    <w:qFormat/>
    <w:uiPriority w:val="99"/>
    <w:rPr>
      <w:rFonts w:ascii="Cambria" w:hAnsi="黑体" w:eastAsia="黑体" w:cs="Cambria"/>
      <w:sz w:val="22"/>
      <w:szCs w:val="22"/>
      <w:lang w:eastAsia="zh-CN"/>
    </w:rPr>
  </w:style>
  <w:style w:type="character" w:customStyle="1" w:styleId="31">
    <w:name w:val="Style4"/>
    <w:basedOn w:val="15"/>
    <w:qFormat/>
    <w:uiPriority w:val="99"/>
    <w:rPr>
      <w:rFonts w:ascii="Cambria" w:hAnsi="黑体" w:eastAsia="黑体" w:cs="Cambria"/>
      <w:sz w:val="22"/>
      <w:szCs w:val="22"/>
      <w:lang w:eastAsia="zh-CN"/>
    </w:rPr>
  </w:style>
  <w:style w:type="character" w:customStyle="1" w:styleId="32">
    <w:name w:val="Style5"/>
    <w:basedOn w:val="15"/>
    <w:qFormat/>
    <w:uiPriority w:val="99"/>
    <w:rPr>
      <w:rFonts w:ascii="Cambria" w:hAnsi="黑体" w:eastAsia="黑体" w:cs="Cambria"/>
      <w:sz w:val="22"/>
      <w:szCs w:val="22"/>
      <w:lang w:eastAsia="zh-CN"/>
    </w:rPr>
  </w:style>
  <w:style w:type="paragraph" w:styleId="33">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3.jpeg"/><Relationship Id="rId11" Type="http://schemas.openxmlformats.org/officeDocument/2006/relationships/chart" Target="charts/chart4.xml"/><Relationship Id="rId10" Type="http://schemas.openxmlformats.org/officeDocument/2006/relationships/chart" Target="charts/chart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9" Type="http://schemas.openxmlformats.org/officeDocument/2006/relationships/font" Target="fonts/font19.odttf"/><Relationship Id="rId18" Type="http://schemas.openxmlformats.org/officeDocument/2006/relationships/font" Target="fonts/font18.odttf"/><Relationship Id="rId17" Type="http://schemas.openxmlformats.org/officeDocument/2006/relationships/font" Target="fonts/font17.odttf"/><Relationship Id="rId16" Type="http://schemas.openxmlformats.org/officeDocument/2006/relationships/font" Target="fonts/font16.odttf"/><Relationship Id="rId15" Type="http://schemas.openxmlformats.org/officeDocument/2006/relationships/font" Target="fonts/font15.odttf"/><Relationship Id="rId14" Type="http://schemas.openxmlformats.org/officeDocument/2006/relationships/font" Target="fonts/font14.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pieChart>
        <c:varyColors val="1"/>
        <c:ser>
          <c:idx val="0"/>
          <c:order val="0"/>
          <c:tx>
            <c:strRef>
              <c:f>Sheet1!$B$1</c:f>
              <c:strCache>
                <c:ptCount val="1"/>
                <c:pt idx="0">
                  <c:v>收入总额</c:v>
                </c:pt>
              </c:strCache>
            </c:strRef>
          </c:tx>
          <c:explosion val="0"/>
          <c:dPt>
            <c:idx val="0"/>
            <c:bubble3D val="0"/>
          </c:dPt>
          <c:dPt>
            <c:idx val="1"/>
            <c:bubble3D val="0"/>
          </c:dPt>
          <c:dPt>
            <c:idx val="2"/>
            <c:bubble3D val="0"/>
          </c:dPt>
          <c:dPt>
            <c:idx val="3"/>
            <c:bubble3D val="0"/>
          </c:dPt>
          <c:dLbls>
            <c:delete val="1"/>
          </c:dLbls>
          <c:cat>
            <c:strRef>
              <c:f>Sheet1!$A$2:$A$5</c:f>
              <c:strCache>
                <c:ptCount val="1"/>
                <c:pt idx="0">
                  <c:v>财政拨款收入</c:v>
                </c:pt>
              </c:strCache>
            </c:strRef>
          </c:cat>
          <c:val>
            <c:numRef>
              <c:f>Sheet1!$B$2:$B$5</c:f>
              <c:numCache>
                <c:formatCode>General</c:formatCode>
                <c:ptCount val="4"/>
                <c:pt idx="0">
                  <c:v>307.12</c:v>
                </c:pt>
              </c:numCache>
            </c:numRef>
          </c:val>
        </c:ser>
        <c:dLbls>
          <c:showLegendKey val="0"/>
          <c:showVal val="0"/>
          <c:showCatName val="0"/>
          <c:showSerName val="0"/>
          <c:showPercent val="0"/>
          <c:showBubbleSize val="0"/>
          <c:showLeaderLines val="1"/>
        </c:dLbls>
        <c:firstSliceAng val="15"/>
      </c:pieChart>
      <c:spPr>
        <a:noFill/>
        <a:ln>
          <a:noFill/>
        </a:ln>
        <a:effectLst/>
      </c:spPr>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销售额</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0.00%</c:formatCode>
                <c:ptCount val="2"/>
                <c:pt idx="0">
                  <c:v>0.5698</c:v>
                </c:pt>
                <c:pt idx="1">
                  <c:v>0.4302</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1633519764907"/>
          <c:y val="0.152499013378308"/>
          <c:w val="0.710961038961039"/>
          <c:h val="0.6735275623559"/>
        </c:manualLayout>
      </c:layout>
      <c:barChart>
        <c:barDir val="col"/>
        <c:grouping val="clustered"/>
        <c:varyColors val="0"/>
        <c:ser>
          <c:idx val="0"/>
          <c:order val="0"/>
          <c:tx>
            <c:strRef>
              <c:f>Sheet1!$B$1</c:f>
              <c:strCache>
                <c:ptCount val="1"/>
                <c:pt idx="0">
                  <c:v>系列 1</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2018年度收入</c:v>
                </c:pt>
                <c:pt idx="1">
                  <c:v>2017年度收入</c:v>
                </c:pt>
                <c:pt idx="2">
                  <c:v>2018年度支出</c:v>
                </c:pt>
                <c:pt idx="3">
                  <c:v>2017年度支出</c:v>
                </c:pt>
              </c:strCache>
            </c:strRef>
          </c:cat>
          <c:val>
            <c:numRef>
              <c:f>Sheet1!$B$2:$B$5</c:f>
              <c:numCache>
                <c:formatCode>General</c:formatCode>
                <c:ptCount val="4"/>
                <c:pt idx="0">
                  <c:v>307.12</c:v>
                </c:pt>
                <c:pt idx="1">
                  <c:v>149.84</c:v>
                </c:pt>
                <c:pt idx="2">
                  <c:v>308.84</c:v>
                </c:pt>
                <c:pt idx="3">
                  <c:v>468.27</c:v>
                </c:pt>
              </c:numCache>
            </c:numRef>
          </c:val>
        </c:ser>
        <c:ser>
          <c:idx val="1"/>
          <c:order val="1"/>
          <c:tx>
            <c:strRef>
              <c:f>Sheet1!#REF!</c:f>
              <c:strCache>
                <c:ptCount val="1"/>
                <c:pt idx="0">
                  <c:v/>
                </c:pt>
              </c:strCache>
            </c:strRef>
          </c:tx>
          <c:spPr>
            <a:solidFill>
              <a:schemeClr val="accent2"/>
            </a:solidFill>
            <a:ln>
              <a:noFill/>
            </a:ln>
            <a:effectLst/>
          </c:spPr>
          <c:invertIfNegative val="0"/>
          <c:dLbls>
            <c:delete val="1"/>
          </c:dLbls>
          <c:cat>
            <c:strRef>
              <c:f>Sheet1!$A$2:$A$5</c:f>
              <c:strCache>
                <c:ptCount val="4"/>
                <c:pt idx="0">
                  <c:v>2018年度收入</c:v>
                </c:pt>
                <c:pt idx="1">
                  <c:v>2017年度收入</c:v>
                </c:pt>
                <c:pt idx="2">
                  <c:v>2018年度支出</c:v>
                </c:pt>
                <c:pt idx="3">
                  <c:v>2017年度支出</c:v>
                </c:pt>
              </c:strCache>
            </c:strRef>
          </c:cat>
          <c:val>
            <c:numRef>
              <c:f>Sheet1!#REF!</c:f>
              <c:numCache>
                <c:formatCode>General</c:formatCode>
                <c:ptCount val="1"/>
                <c:pt idx="0">
                  <c:v>1</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Sheet1!$A$2:$A$5</c:f>
              <c:strCache>
                <c:ptCount val="4"/>
                <c:pt idx="0">
                  <c:v>2018年度收入</c:v>
                </c:pt>
                <c:pt idx="1">
                  <c:v>2017年度收入</c:v>
                </c:pt>
                <c:pt idx="2">
                  <c:v>2018年度支出</c:v>
                </c:pt>
                <c:pt idx="3">
                  <c:v>2017年度支出</c:v>
                </c:pt>
              </c:strCache>
            </c:strRef>
          </c:cat>
          <c:val>
            <c:numRef>
              <c:f>Sheet1!#REF!</c:f>
              <c:numCache>
                <c:formatCode>General</c:formatCode>
                <c:ptCount val="1"/>
                <c:pt idx="0">
                  <c:v>1</c:v>
                </c:pt>
              </c:numCache>
            </c:numRef>
          </c:val>
        </c:ser>
        <c:dLbls>
          <c:showLegendKey val="0"/>
          <c:showVal val="1"/>
          <c:showCatName val="0"/>
          <c:showSerName val="0"/>
          <c:showPercent val="0"/>
          <c:showBubbleSize val="0"/>
        </c:dLbls>
        <c:gapWidth val="219"/>
        <c:overlap val="-27"/>
        <c:axId val="249701199"/>
        <c:axId val="790241553"/>
      </c:barChart>
      <c:catAx>
        <c:axId val="249701199"/>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90241553"/>
        <c:crosses val="autoZero"/>
        <c:auto val="1"/>
        <c:lblAlgn val="ctr"/>
        <c:lblOffset val="100"/>
        <c:noMultiLvlLbl val="0"/>
      </c:catAx>
      <c:valAx>
        <c:axId val="79024155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49701199"/>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941704499664203"/>
          <c:y val="0.101902879291251"/>
          <c:w val="0.9018"/>
          <c:h val="0.717233333333333"/>
        </c:manualLayout>
      </c:layout>
      <c:barChart>
        <c:barDir val="col"/>
        <c:grouping val="clustered"/>
        <c:varyColors val="0"/>
        <c:ser>
          <c:idx val="0"/>
          <c:order val="0"/>
          <c:tx>
            <c:strRef>
              <c:f>Sheet1!$B$1</c:f>
              <c:strCache>
                <c:ptCount val="1"/>
                <c:pt idx="0">
                  <c:v>系列 1</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收入预算数</c:v>
                </c:pt>
                <c:pt idx="1">
                  <c:v>收入决算数</c:v>
                </c:pt>
                <c:pt idx="2">
                  <c:v>支出预算数</c:v>
                </c:pt>
                <c:pt idx="3">
                  <c:v>支出决算数</c:v>
                </c:pt>
              </c:strCache>
            </c:strRef>
          </c:cat>
          <c:val>
            <c:numRef>
              <c:f>Sheet1!$B$2:$B$5</c:f>
              <c:numCache>
                <c:formatCode>General</c:formatCode>
                <c:ptCount val="4"/>
                <c:pt idx="0">
                  <c:v>172.03</c:v>
                </c:pt>
                <c:pt idx="1">
                  <c:v>307.12</c:v>
                </c:pt>
                <c:pt idx="2">
                  <c:v>172.03</c:v>
                </c:pt>
                <c:pt idx="3">
                  <c:v>308.84</c:v>
                </c:pt>
              </c:numCache>
            </c:numRef>
          </c:val>
        </c:ser>
        <c:ser>
          <c:idx val="1"/>
          <c:order val="1"/>
          <c:tx>
            <c:strRef>
              <c:f>Sheet1!#REF!</c:f>
              <c:strCache>
                <c:ptCount val="1"/>
                <c:pt idx="0">
                  <c:v/>
                </c:pt>
              </c:strCache>
            </c:strRef>
          </c:tx>
          <c:spPr>
            <a:solidFill>
              <a:schemeClr val="accent2"/>
            </a:solidFill>
            <a:ln>
              <a:noFill/>
            </a:ln>
            <a:effectLst/>
          </c:spPr>
          <c:invertIfNegative val="0"/>
          <c:dLbls>
            <c:delete val="1"/>
          </c:dLbls>
          <c:cat>
            <c:strRef>
              <c:f>Sheet1!$A$2:$A$5</c:f>
              <c:strCache>
                <c:ptCount val="4"/>
                <c:pt idx="0">
                  <c:v>收入预算数</c:v>
                </c:pt>
                <c:pt idx="1">
                  <c:v>收入决算数</c:v>
                </c:pt>
                <c:pt idx="2">
                  <c:v>支出预算数</c:v>
                </c:pt>
                <c:pt idx="3">
                  <c:v>支出决算数</c:v>
                </c:pt>
              </c:strCache>
            </c:strRef>
          </c:cat>
          <c:val>
            <c:numRef>
              <c:f>Sheet1!#REF!</c:f>
              <c:numCache>
                <c:formatCode>General</c:formatCode>
                <c:ptCount val="1"/>
                <c:pt idx="0">
                  <c:v>1</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Sheet1!$A$2:$A$5</c:f>
              <c:strCache>
                <c:ptCount val="4"/>
                <c:pt idx="0">
                  <c:v>收入预算数</c:v>
                </c:pt>
                <c:pt idx="1">
                  <c:v>收入决算数</c:v>
                </c:pt>
                <c:pt idx="2">
                  <c:v>支出预算数</c:v>
                </c:pt>
                <c:pt idx="3">
                  <c:v>支出决算数</c:v>
                </c:pt>
              </c:strCache>
            </c:strRef>
          </c:cat>
          <c:val>
            <c:numRef>
              <c:f>Sheet1!#REF!</c:f>
              <c:numCache>
                <c:formatCode>General</c:formatCode>
                <c:ptCount val="1"/>
                <c:pt idx="0">
                  <c:v>1</c:v>
                </c:pt>
              </c:numCache>
            </c:numRef>
          </c:val>
        </c:ser>
        <c:dLbls>
          <c:showLegendKey val="0"/>
          <c:showVal val="1"/>
          <c:showCatName val="0"/>
          <c:showSerName val="0"/>
          <c:showPercent val="0"/>
          <c:showBubbleSize val="0"/>
        </c:dLbls>
        <c:gapWidth val="219"/>
        <c:overlap val="-27"/>
        <c:axId val="249701199"/>
        <c:axId val="790241553"/>
      </c:barChart>
      <c:catAx>
        <c:axId val="249701199"/>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90241553"/>
        <c:crosses val="autoZero"/>
        <c:auto val="1"/>
        <c:lblAlgn val="ctr"/>
        <c:lblOffset val="100"/>
        <c:noMultiLvlLbl val="0"/>
      </c:catAx>
      <c:valAx>
        <c:axId val="79024155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49701199"/>
        <c:crosses val="autoZero"/>
        <c:crossBetween val="between"/>
      </c:valAx>
      <c:spPr>
        <a:noFill/>
        <a:ln>
          <a:noFill/>
        </a:ln>
        <a:effectLst/>
      </c:spPr>
    </c:plotArea>
    <c:legend>
      <c:legendPos val="b"/>
      <c:legendEntry>
        <c:idx val="1"/>
        <c:delete val="1"/>
      </c:legendEntry>
      <c:legendEntry>
        <c:idx val="2"/>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Microsoft</Company>
  <Pages>24</Pages>
  <Words>4835</Words>
  <Characters>5171</Characters>
  <Lines>0</Lines>
  <Paragraphs>0</Paragraphs>
  <TotalTime>2</TotalTime>
  <ScaleCrop>false</ScaleCrop>
  <LinksUpToDate>false</LinksUpToDate>
  <CharactersWithSpaces>5234</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2021-05-21T07:09:00Z</dcterms:created>
  <dc:creator>User</dc:creator>
  <cp:lastModifiedBy>燕儿</cp:lastModifiedBy>
  <cp:lastPrinted>2019-08-02T01:01:00Z</cp:lastPrinted>
  <dcterms:modified xsi:type="dcterms:W3CDTF">2024-09-28T14:54:27Z</dcterms:modified>
  <dc:subject>石家庄市xxx部门</dc:subject>
  <dc:title>2017年度部门决算</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2CC59A63BDF64375BA788AD3509C31A8</vt:lpwstr>
  </property>
</Properties>
</file>