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高邑县人力资源和社会保障局</w:t>
      </w:r>
    </w:p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</w:t>
      </w:r>
      <w:r>
        <w:rPr>
          <w:rFonts w:hint="eastAsia" w:ascii="黑体" w:hAnsi="黑体" w:eastAsia="黑体" w:cs="仿宋_GB2312"/>
          <w:sz w:val="30"/>
          <w:szCs w:val="30"/>
          <w:lang w:eastAsia="zh-CN"/>
        </w:rPr>
        <w:t>情况</w:t>
      </w:r>
      <w:r>
        <w:rPr>
          <w:rFonts w:hint="eastAsia" w:ascii="黑体" w:hAnsi="黑体" w:eastAsia="黑体" w:cs="仿宋_GB2312"/>
          <w:sz w:val="30"/>
          <w:szCs w:val="30"/>
        </w:rPr>
        <w:t>表</w:t>
      </w:r>
      <w:bookmarkStart w:id="0" w:name="_GoBack"/>
      <w:bookmarkEnd w:id="0"/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0F3E0B9A"/>
    <w:rsid w:val="42F172D3"/>
    <w:rsid w:val="541F5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0</TotalTime>
  <ScaleCrop>false</ScaleCrop>
  <LinksUpToDate>false</LinksUpToDate>
  <CharactersWithSpaces>301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2021-05-20T09:21:02Z</dcterms:modified>
  <dc:title>高邑县人力资源和社会保障局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